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07" w:rsidRPr="00BA3DA2" w:rsidRDefault="00127507" w:rsidP="00127507">
      <w:pPr>
        <w:widowControl w:val="0"/>
        <w:autoSpaceDE w:val="0"/>
        <w:autoSpaceDN w:val="0"/>
        <w:jc w:val="center"/>
        <w:rPr>
          <w:rFonts w:ascii="Times New Roman" w:hAnsi="Times New Roman" w:cs="Times New Roman"/>
          <w:b/>
          <w:sz w:val="36"/>
          <w:szCs w:val="36"/>
        </w:rPr>
      </w:pPr>
      <w:r w:rsidRPr="00BA3DA2">
        <w:rPr>
          <w:rFonts w:ascii="Times New Roman" w:hAnsi="Times New Roman" w:cs="Times New Roman"/>
          <w:b/>
          <w:sz w:val="36"/>
          <w:szCs w:val="36"/>
        </w:rPr>
        <w:t xml:space="preserve">VIDA! </w:t>
      </w:r>
      <w:proofErr w:type="gramStart"/>
      <w:r w:rsidRPr="00BA3DA2">
        <w:rPr>
          <w:rFonts w:ascii="Times New Roman" w:hAnsi="Times New Roman" w:cs="Times New Roman"/>
          <w:b/>
          <w:sz w:val="36"/>
          <w:szCs w:val="36"/>
        </w:rPr>
        <w:t>školám</w:t>
      </w:r>
      <w:proofErr w:type="gramEnd"/>
      <w:r w:rsidRPr="00BA3DA2">
        <w:rPr>
          <w:rFonts w:ascii="Times New Roman" w:hAnsi="Times New Roman" w:cs="Times New Roman"/>
          <w:b/>
          <w:sz w:val="36"/>
          <w:szCs w:val="36"/>
        </w:rPr>
        <w:t xml:space="preserve"> - propojení formálního a neformálního vzdělávání</w:t>
      </w:r>
    </w:p>
    <w:p w:rsidR="00127507" w:rsidRPr="00BA3DA2" w:rsidRDefault="00127507" w:rsidP="00127507">
      <w:pPr>
        <w:spacing w:after="240"/>
        <w:ind w:firstLine="284"/>
        <w:jc w:val="center"/>
        <w:rPr>
          <w:rFonts w:ascii="Times New Roman" w:hAnsi="Times New Roman" w:cs="Times New Roman"/>
          <w:b/>
          <w:sz w:val="36"/>
          <w:szCs w:val="36"/>
        </w:rPr>
      </w:pPr>
      <w:r w:rsidRPr="00BA3DA2">
        <w:rPr>
          <w:rFonts w:ascii="Times New Roman" w:hAnsi="Times New Roman" w:cs="Times New Roman"/>
          <w:b/>
          <w:sz w:val="36"/>
          <w:szCs w:val="36"/>
        </w:rPr>
        <w:t>CZ.02.3.68/0.0/0.0/16_032/0008290</w:t>
      </w:r>
    </w:p>
    <w:p w:rsidR="00127507" w:rsidRPr="00BA3DA2" w:rsidRDefault="00127507" w:rsidP="00127507">
      <w:pPr>
        <w:spacing w:after="240"/>
        <w:ind w:firstLine="284"/>
        <w:rPr>
          <w:rFonts w:ascii="Times New Roman" w:hAnsi="Times New Roman" w:cs="Times New Roman"/>
          <w:sz w:val="28"/>
          <w:szCs w:val="28"/>
        </w:rPr>
      </w:pPr>
    </w:p>
    <w:p w:rsidR="00127507" w:rsidRPr="00BA3DA2" w:rsidRDefault="00127507" w:rsidP="00127507">
      <w:pPr>
        <w:spacing w:after="240"/>
        <w:ind w:firstLine="284"/>
        <w:rPr>
          <w:rFonts w:ascii="Times New Roman" w:hAnsi="Times New Roman" w:cs="Times New Roman"/>
          <w:sz w:val="28"/>
          <w:szCs w:val="28"/>
        </w:rPr>
      </w:pPr>
    </w:p>
    <w:p w:rsidR="00127507" w:rsidRPr="00BA3DA2" w:rsidRDefault="00127507" w:rsidP="00127507">
      <w:pPr>
        <w:spacing w:after="240"/>
        <w:ind w:firstLine="284"/>
        <w:rPr>
          <w:rFonts w:ascii="Times New Roman" w:hAnsi="Times New Roman" w:cs="Times New Roman"/>
          <w:sz w:val="28"/>
          <w:szCs w:val="28"/>
        </w:rPr>
      </w:pPr>
    </w:p>
    <w:p w:rsidR="00127507" w:rsidRPr="00BA3DA2" w:rsidRDefault="00127507" w:rsidP="00127507">
      <w:pPr>
        <w:spacing w:after="240"/>
        <w:ind w:firstLine="284"/>
        <w:jc w:val="center"/>
        <w:rPr>
          <w:rFonts w:ascii="Times New Roman" w:hAnsi="Times New Roman" w:cs="Times New Roman"/>
          <w:b/>
          <w:sz w:val="40"/>
          <w:szCs w:val="40"/>
        </w:rPr>
      </w:pPr>
      <w:r w:rsidRPr="00BA3DA2">
        <w:rPr>
          <w:rFonts w:ascii="Times New Roman" w:hAnsi="Times New Roman" w:cs="Times New Roman"/>
          <w:b/>
          <w:sz w:val="40"/>
          <w:szCs w:val="40"/>
        </w:rPr>
        <w:t>Program: Dva dny s energií</w:t>
      </w:r>
    </w:p>
    <w:p w:rsidR="00127507" w:rsidRDefault="00127507" w:rsidP="00127507">
      <w:pPr>
        <w:spacing w:after="240"/>
        <w:ind w:firstLine="284"/>
        <w:rPr>
          <w:rFonts w:ascii="Times New Roman" w:hAnsi="Times New Roman" w:cs="Times New Roman"/>
          <w:sz w:val="28"/>
          <w:szCs w:val="28"/>
        </w:rPr>
      </w:pPr>
    </w:p>
    <w:p w:rsidR="00127507" w:rsidRDefault="00127507" w:rsidP="00127507">
      <w:pPr>
        <w:spacing w:after="240"/>
        <w:ind w:firstLine="284"/>
        <w:rPr>
          <w:rFonts w:ascii="Times New Roman" w:hAnsi="Times New Roman" w:cs="Times New Roman"/>
          <w:sz w:val="28"/>
          <w:szCs w:val="28"/>
        </w:rPr>
      </w:pPr>
    </w:p>
    <w:p w:rsidR="00127507" w:rsidRDefault="00127507" w:rsidP="00127507">
      <w:pPr>
        <w:spacing w:after="240"/>
        <w:ind w:firstLine="284"/>
        <w:rPr>
          <w:rFonts w:ascii="Times New Roman" w:hAnsi="Times New Roman" w:cs="Times New Roman"/>
          <w:sz w:val="28"/>
          <w:szCs w:val="28"/>
        </w:rPr>
      </w:pPr>
      <w:r>
        <w:rPr>
          <w:rFonts w:ascii="Times New Roman" w:hAnsi="Times New Roman" w:cs="Times New Roman"/>
          <w:sz w:val="28"/>
          <w:szCs w:val="28"/>
        </w:rPr>
        <w:t>Podkladový materiál – informační karty pro hru v ekocentru Alternátor ve variantě pro střední školy. Cílové informace jsou stejné jako pro žáky ZŠ, ale je potřeba se zorientovat ve větším množství textu a dokázat jej kriticky zhodnotit, tedy získat potřebné informace.</w:t>
      </w:r>
    </w:p>
    <w:p w:rsidR="00127507" w:rsidRPr="00BA3DA2" w:rsidRDefault="00127507" w:rsidP="00127507">
      <w:pPr>
        <w:spacing w:after="240"/>
        <w:ind w:firstLine="284"/>
        <w:rPr>
          <w:rFonts w:ascii="Times New Roman" w:hAnsi="Times New Roman" w:cs="Times New Roman"/>
          <w:sz w:val="28"/>
          <w:szCs w:val="28"/>
        </w:rPr>
      </w:pPr>
      <w:r>
        <w:rPr>
          <w:rFonts w:ascii="Times New Roman" w:hAnsi="Times New Roman" w:cs="Times New Roman"/>
          <w:sz w:val="28"/>
          <w:szCs w:val="28"/>
        </w:rPr>
        <w:t xml:space="preserve">Karty je vhodné </w:t>
      </w:r>
      <w:proofErr w:type="spellStart"/>
      <w:r>
        <w:rPr>
          <w:rFonts w:ascii="Times New Roman" w:hAnsi="Times New Roman" w:cs="Times New Roman"/>
          <w:sz w:val="28"/>
          <w:szCs w:val="28"/>
        </w:rPr>
        <w:t>zalaminovat</w:t>
      </w:r>
      <w:proofErr w:type="spellEnd"/>
      <w:r>
        <w:rPr>
          <w:rFonts w:ascii="Times New Roman" w:hAnsi="Times New Roman" w:cs="Times New Roman"/>
          <w:sz w:val="28"/>
          <w:szCs w:val="28"/>
        </w:rPr>
        <w:t xml:space="preserve"> do fólie.</w:t>
      </w: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7C465C">
      <w:pPr>
        <w:pBdr>
          <w:bottom w:val="single" w:sz="4" w:space="1" w:color="auto"/>
        </w:pBdr>
        <w:jc w:val="center"/>
        <w:rPr>
          <w:rFonts w:ascii="Times New Roman" w:hAnsi="Times New Roman" w:cs="Times New Roman"/>
          <w:sz w:val="32"/>
          <w:szCs w:val="32"/>
        </w:rPr>
      </w:pPr>
    </w:p>
    <w:p w:rsidR="00127507" w:rsidRDefault="00127507" w:rsidP="00127507">
      <w:pPr>
        <w:pBdr>
          <w:bottom w:val="single" w:sz="4" w:space="1" w:color="auto"/>
        </w:pBdr>
        <w:jc w:val="center"/>
        <w:rPr>
          <w:rFonts w:ascii="Times New Roman" w:hAnsi="Times New Roman" w:cs="Times New Roman"/>
          <w:noProof/>
          <w:sz w:val="32"/>
          <w:szCs w:val="32"/>
          <w:lang w:eastAsia="cs-CZ"/>
        </w:rPr>
      </w:pPr>
    </w:p>
    <w:p w:rsidR="007456D1" w:rsidRDefault="007456D1" w:rsidP="00127507">
      <w:pPr>
        <w:pBdr>
          <w:bottom w:val="single" w:sz="4" w:space="1" w:color="auto"/>
        </w:pBdr>
        <w:jc w:val="center"/>
        <w:rPr>
          <w:rFonts w:ascii="Times New Roman" w:hAnsi="Times New Roman" w:cs="Times New Roman"/>
          <w:sz w:val="32"/>
          <w:szCs w:val="32"/>
        </w:rPr>
      </w:pPr>
    </w:p>
    <w:p w:rsidR="00B47B43" w:rsidRPr="007C465C" w:rsidRDefault="007C465C" w:rsidP="007C465C">
      <w:pPr>
        <w:pBdr>
          <w:bottom w:val="single" w:sz="4" w:space="1" w:color="auto"/>
        </w:pBdr>
        <w:jc w:val="center"/>
        <w:rPr>
          <w:rFonts w:ascii="Verdana" w:hAnsi="Verdana"/>
          <w:color w:val="0070C0"/>
          <w:sz w:val="40"/>
          <w:szCs w:val="40"/>
        </w:rPr>
      </w:pPr>
      <w:r w:rsidRPr="007C465C">
        <w:rPr>
          <w:rFonts w:ascii="Verdana" w:hAnsi="Verdana"/>
          <w:color w:val="0070C0"/>
          <w:sz w:val="40"/>
          <w:szCs w:val="40"/>
        </w:rPr>
        <w:lastRenderedPageBreak/>
        <w:t>Mohlo by se hodit …</w:t>
      </w:r>
    </w:p>
    <w:p w:rsidR="007C465C" w:rsidRPr="007C465C" w:rsidRDefault="007C465C" w:rsidP="007C465C">
      <w:pPr>
        <w:jc w:val="center"/>
        <w:rPr>
          <w:rFonts w:ascii="Times New Roman" w:hAnsi="Times New Roman" w:cs="Times New Roman"/>
          <w:color w:val="0070C0"/>
          <w:sz w:val="24"/>
          <w:szCs w:val="24"/>
        </w:rPr>
      </w:pPr>
    </w:p>
    <w:tbl>
      <w:tblPr>
        <w:tblStyle w:val="Mkatabulky"/>
        <w:tblW w:w="0" w:type="auto"/>
        <w:tblLook w:val="04A0" w:firstRow="1" w:lastRow="0" w:firstColumn="1" w:lastColumn="0" w:noHBand="0" w:noVBand="1"/>
      </w:tblPr>
      <w:tblGrid>
        <w:gridCol w:w="1271"/>
        <w:gridCol w:w="851"/>
        <w:gridCol w:w="3827"/>
        <w:gridCol w:w="1134"/>
        <w:gridCol w:w="1979"/>
      </w:tblGrid>
      <w:tr w:rsidR="007C465C" w:rsidTr="007C465C">
        <w:trPr>
          <w:trHeight w:val="567"/>
        </w:trPr>
        <w:tc>
          <w:tcPr>
            <w:tcW w:w="1271" w:type="dxa"/>
            <w:vAlign w:val="center"/>
          </w:tcPr>
          <w:p w:rsidR="007C465C" w:rsidRPr="007C465C" w:rsidRDefault="007C465C" w:rsidP="007C465C">
            <w:pPr>
              <w:rPr>
                <w:rFonts w:ascii="Comic Sans MS" w:hAnsi="Comic Sans MS" w:cs="Times New Roman"/>
                <w:sz w:val="32"/>
                <w:szCs w:val="32"/>
              </w:rPr>
            </w:pPr>
            <w:proofErr w:type="spellStart"/>
            <w:r>
              <w:rPr>
                <w:rFonts w:ascii="Comic Sans MS" w:hAnsi="Comic Sans MS" w:cs="Times New Roman"/>
                <w:sz w:val="32"/>
                <w:szCs w:val="32"/>
              </w:rPr>
              <w:t>peta</w:t>
            </w:r>
            <w:proofErr w:type="spellEnd"/>
          </w:p>
        </w:tc>
        <w:tc>
          <w:tcPr>
            <w:tcW w:w="851" w:type="dxa"/>
            <w:vAlign w:val="center"/>
          </w:tcPr>
          <w:p w:rsidR="007C465C" w:rsidRPr="007C465C" w:rsidRDefault="007C465C" w:rsidP="007C465C">
            <w:pPr>
              <w:jc w:val="center"/>
              <w:rPr>
                <w:rFonts w:ascii="Comic Sans MS" w:hAnsi="Comic Sans MS" w:cs="Times New Roman"/>
                <w:sz w:val="32"/>
                <w:szCs w:val="32"/>
              </w:rPr>
            </w:pPr>
            <w:r>
              <w:rPr>
                <w:rFonts w:ascii="Comic Sans MS" w:hAnsi="Comic Sans MS" w:cs="Times New Roman"/>
                <w:sz w:val="32"/>
                <w:szCs w:val="32"/>
              </w:rPr>
              <w:t>P</w:t>
            </w:r>
          </w:p>
        </w:tc>
        <w:tc>
          <w:tcPr>
            <w:tcW w:w="3827" w:type="dxa"/>
            <w:vAlign w:val="center"/>
          </w:tcPr>
          <w:p w:rsidR="007C465C" w:rsidRPr="007C465C" w:rsidRDefault="007C465C" w:rsidP="007C465C">
            <w:pPr>
              <w:jc w:val="right"/>
              <w:rPr>
                <w:rFonts w:ascii="Comic Sans MS" w:hAnsi="Comic Sans MS" w:cs="Times New Roman"/>
                <w:sz w:val="32"/>
                <w:szCs w:val="32"/>
              </w:rPr>
            </w:pPr>
            <w:r>
              <w:rPr>
                <w:rFonts w:ascii="Comic Sans MS" w:hAnsi="Comic Sans MS" w:cs="Times New Roman"/>
                <w:sz w:val="32"/>
                <w:szCs w:val="32"/>
              </w:rPr>
              <w:t>1 000 000 000 000 000</w:t>
            </w:r>
          </w:p>
        </w:tc>
        <w:tc>
          <w:tcPr>
            <w:tcW w:w="1134" w:type="dxa"/>
            <w:vAlign w:val="center"/>
          </w:tcPr>
          <w:p w:rsidR="007C465C" w:rsidRPr="007C465C" w:rsidRDefault="007C465C" w:rsidP="007C465C">
            <w:pPr>
              <w:jc w:val="center"/>
              <w:rPr>
                <w:rFonts w:ascii="Comic Sans MS" w:hAnsi="Comic Sans MS" w:cs="Times New Roman"/>
                <w:sz w:val="32"/>
                <w:szCs w:val="32"/>
                <w:vertAlign w:val="superscript"/>
              </w:rPr>
            </w:pPr>
            <w:r>
              <w:rPr>
                <w:rFonts w:ascii="Comic Sans MS" w:hAnsi="Comic Sans MS" w:cs="Times New Roman"/>
                <w:sz w:val="32"/>
                <w:szCs w:val="32"/>
              </w:rPr>
              <w:t>10</w:t>
            </w:r>
            <w:r>
              <w:rPr>
                <w:rFonts w:ascii="Comic Sans MS" w:hAnsi="Comic Sans MS" w:cs="Times New Roman"/>
                <w:sz w:val="32"/>
                <w:szCs w:val="32"/>
                <w:vertAlign w:val="superscript"/>
              </w:rPr>
              <w:t>15</w:t>
            </w:r>
          </w:p>
        </w:tc>
        <w:tc>
          <w:tcPr>
            <w:tcW w:w="1979" w:type="dxa"/>
            <w:vAlign w:val="center"/>
          </w:tcPr>
          <w:p w:rsidR="007C465C" w:rsidRPr="007C465C" w:rsidRDefault="007C465C" w:rsidP="007C465C">
            <w:pPr>
              <w:rPr>
                <w:rFonts w:ascii="Comic Sans MS" w:hAnsi="Comic Sans MS" w:cs="Times New Roman"/>
                <w:sz w:val="32"/>
                <w:szCs w:val="32"/>
              </w:rPr>
            </w:pPr>
            <w:r>
              <w:rPr>
                <w:rFonts w:ascii="Comic Sans MS" w:hAnsi="Comic Sans MS" w:cs="Times New Roman"/>
                <w:sz w:val="32"/>
                <w:szCs w:val="32"/>
              </w:rPr>
              <w:t>biliarda</w:t>
            </w:r>
          </w:p>
        </w:tc>
      </w:tr>
      <w:tr w:rsidR="007C465C" w:rsidTr="007C465C">
        <w:trPr>
          <w:trHeight w:val="567"/>
        </w:trPr>
        <w:tc>
          <w:tcPr>
            <w:tcW w:w="1271" w:type="dxa"/>
            <w:vAlign w:val="center"/>
          </w:tcPr>
          <w:p w:rsidR="007C465C" w:rsidRPr="007C465C" w:rsidRDefault="007C465C" w:rsidP="007C465C">
            <w:pPr>
              <w:rPr>
                <w:rFonts w:ascii="Comic Sans MS" w:hAnsi="Comic Sans MS" w:cs="Times New Roman"/>
                <w:sz w:val="32"/>
                <w:szCs w:val="32"/>
              </w:rPr>
            </w:pPr>
            <w:proofErr w:type="spellStart"/>
            <w:r>
              <w:rPr>
                <w:rFonts w:ascii="Comic Sans MS" w:hAnsi="Comic Sans MS" w:cs="Times New Roman"/>
                <w:sz w:val="32"/>
                <w:szCs w:val="32"/>
              </w:rPr>
              <w:t>tera</w:t>
            </w:r>
            <w:proofErr w:type="spellEnd"/>
          </w:p>
        </w:tc>
        <w:tc>
          <w:tcPr>
            <w:tcW w:w="851" w:type="dxa"/>
            <w:vAlign w:val="center"/>
          </w:tcPr>
          <w:p w:rsidR="007C465C" w:rsidRPr="007C465C" w:rsidRDefault="007C465C" w:rsidP="007C465C">
            <w:pPr>
              <w:jc w:val="center"/>
              <w:rPr>
                <w:rFonts w:ascii="Comic Sans MS" w:hAnsi="Comic Sans MS" w:cs="Times New Roman"/>
                <w:sz w:val="32"/>
                <w:szCs w:val="32"/>
              </w:rPr>
            </w:pPr>
            <w:r>
              <w:rPr>
                <w:rFonts w:ascii="Comic Sans MS" w:hAnsi="Comic Sans MS" w:cs="Times New Roman"/>
                <w:sz w:val="32"/>
                <w:szCs w:val="32"/>
              </w:rPr>
              <w:t>T</w:t>
            </w:r>
          </w:p>
        </w:tc>
        <w:tc>
          <w:tcPr>
            <w:tcW w:w="3827" w:type="dxa"/>
            <w:vAlign w:val="center"/>
          </w:tcPr>
          <w:p w:rsidR="007C465C" w:rsidRPr="007C465C" w:rsidRDefault="007C465C" w:rsidP="007C465C">
            <w:pPr>
              <w:jc w:val="right"/>
              <w:rPr>
                <w:rFonts w:ascii="Comic Sans MS" w:hAnsi="Comic Sans MS" w:cs="Times New Roman"/>
                <w:sz w:val="32"/>
                <w:szCs w:val="32"/>
              </w:rPr>
            </w:pPr>
            <w:r>
              <w:rPr>
                <w:rFonts w:ascii="Comic Sans MS" w:hAnsi="Comic Sans MS" w:cs="Times New Roman"/>
                <w:sz w:val="32"/>
                <w:szCs w:val="32"/>
              </w:rPr>
              <w:t>1 000 000 000 000</w:t>
            </w:r>
          </w:p>
        </w:tc>
        <w:tc>
          <w:tcPr>
            <w:tcW w:w="1134" w:type="dxa"/>
            <w:vAlign w:val="center"/>
          </w:tcPr>
          <w:p w:rsidR="007C465C" w:rsidRPr="007C465C" w:rsidRDefault="007C465C" w:rsidP="007C465C">
            <w:pPr>
              <w:jc w:val="center"/>
              <w:rPr>
                <w:rFonts w:ascii="Comic Sans MS" w:hAnsi="Comic Sans MS" w:cs="Times New Roman"/>
                <w:sz w:val="32"/>
                <w:szCs w:val="32"/>
                <w:vertAlign w:val="superscript"/>
              </w:rPr>
            </w:pPr>
            <w:r>
              <w:rPr>
                <w:rFonts w:ascii="Comic Sans MS" w:hAnsi="Comic Sans MS" w:cs="Times New Roman"/>
                <w:sz w:val="32"/>
                <w:szCs w:val="32"/>
              </w:rPr>
              <w:t>10</w:t>
            </w:r>
            <w:r>
              <w:rPr>
                <w:rFonts w:ascii="Comic Sans MS" w:hAnsi="Comic Sans MS" w:cs="Times New Roman"/>
                <w:sz w:val="32"/>
                <w:szCs w:val="32"/>
                <w:vertAlign w:val="superscript"/>
              </w:rPr>
              <w:t>12</w:t>
            </w:r>
          </w:p>
        </w:tc>
        <w:tc>
          <w:tcPr>
            <w:tcW w:w="1979" w:type="dxa"/>
            <w:vAlign w:val="center"/>
          </w:tcPr>
          <w:p w:rsidR="007C465C" w:rsidRPr="007C465C" w:rsidRDefault="007C465C" w:rsidP="007C465C">
            <w:pPr>
              <w:rPr>
                <w:rFonts w:ascii="Comic Sans MS" w:hAnsi="Comic Sans MS" w:cs="Times New Roman"/>
                <w:sz w:val="32"/>
                <w:szCs w:val="32"/>
              </w:rPr>
            </w:pPr>
            <w:r>
              <w:rPr>
                <w:rFonts w:ascii="Comic Sans MS" w:hAnsi="Comic Sans MS" w:cs="Times New Roman"/>
                <w:sz w:val="32"/>
                <w:szCs w:val="32"/>
              </w:rPr>
              <w:t>bilion</w:t>
            </w:r>
          </w:p>
        </w:tc>
      </w:tr>
      <w:tr w:rsidR="007C465C" w:rsidTr="007C465C">
        <w:trPr>
          <w:trHeight w:val="567"/>
        </w:trPr>
        <w:tc>
          <w:tcPr>
            <w:tcW w:w="1271" w:type="dxa"/>
            <w:vAlign w:val="center"/>
          </w:tcPr>
          <w:p w:rsidR="007C465C" w:rsidRPr="007C465C" w:rsidRDefault="007C465C" w:rsidP="007C465C">
            <w:pPr>
              <w:rPr>
                <w:rFonts w:ascii="Comic Sans MS" w:hAnsi="Comic Sans MS" w:cs="Times New Roman"/>
                <w:sz w:val="32"/>
                <w:szCs w:val="32"/>
              </w:rPr>
            </w:pPr>
            <w:r>
              <w:rPr>
                <w:rFonts w:ascii="Comic Sans MS" w:hAnsi="Comic Sans MS" w:cs="Times New Roman"/>
                <w:sz w:val="32"/>
                <w:szCs w:val="32"/>
              </w:rPr>
              <w:t>giga</w:t>
            </w:r>
          </w:p>
        </w:tc>
        <w:tc>
          <w:tcPr>
            <w:tcW w:w="851" w:type="dxa"/>
            <w:vAlign w:val="center"/>
          </w:tcPr>
          <w:p w:rsidR="007C465C" w:rsidRPr="007C465C" w:rsidRDefault="007C465C" w:rsidP="007C465C">
            <w:pPr>
              <w:jc w:val="center"/>
              <w:rPr>
                <w:rFonts w:ascii="Comic Sans MS" w:hAnsi="Comic Sans MS" w:cs="Times New Roman"/>
                <w:sz w:val="32"/>
                <w:szCs w:val="32"/>
              </w:rPr>
            </w:pPr>
            <w:r>
              <w:rPr>
                <w:rFonts w:ascii="Comic Sans MS" w:hAnsi="Comic Sans MS" w:cs="Times New Roman"/>
                <w:sz w:val="32"/>
                <w:szCs w:val="32"/>
              </w:rPr>
              <w:t>G</w:t>
            </w:r>
          </w:p>
        </w:tc>
        <w:tc>
          <w:tcPr>
            <w:tcW w:w="3827" w:type="dxa"/>
            <w:vAlign w:val="center"/>
          </w:tcPr>
          <w:p w:rsidR="007C465C" w:rsidRPr="007C465C" w:rsidRDefault="007C465C" w:rsidP="007C465C">
            <w:pPr>
              <w:jc w:val="right"/>
              <w:rPr>
                <w:rFonts w:ascii="Comic Sans MS" w:hAnsi="Comic Sans MS" w:cs="Times New Roman"/>
                <w:sz w:val="32"/>
                <w:szCs w:val="32"/>
              </w:rPr>
            </w:pPr>
            <w:r>
              <w:rPr>
                <w:rFonts w:ascii="Comic Sans MS" w:hAnsi="Comic Sans MS" w:cs="Times New Roman"/>
                <w:sz w:val="32"/>
                <w:szCs w:val="32"/>
              </w:rPr>
              <w:t>1 000 000 000</w:t>
            </w:r>
          </w:p>
        </w:tc>
        <w:tc>
          <w:tcPr>
            <w:tcW w:w="1134" w:type="dxa"/>
            <w:vAlign w:val="center"/>
          </w:tcPr>
          <w:p w:rsidR="007C465C" w:rsidRPr="007C465C" w:rsidRDefault="007C465C" w:rsidP="007C465C">
            <w:pPr>
              <w:jc w:val="center"/>
              <w:rPr>
                <w:rFonts w:ascii="Comic Sans MS" w:hAnsi="Comic Sans MS" w:cs="Times New Roman"/>
                <w:sz w:val="32"/>
                <w:szCs w:val="32"/>
                <w:vertAlign w:val="superscript"/>
              </w:rPr>
            </w:pPr>
            <w:r>
              <w:rPr>
                <w:rFonts w:ascii="Comic Sans MS" w:hAnsi="Comic Sans MS" w:cs="Times New Roman"/>
                <w:sz w:val="32"/>
                <w:szCs w:val="32"/>
              </w:rPr>
              <w:t>10</w:t>
            </w:r>
            <w:r>
              <w:rPr>
                <w:rFonts w:ascii="Comic Sans MS" w:hAnsi="Comic Sans MS" w:cs="Times New Roman"/>
                <w:sz w:val="32"/>
                <w:szCs w:val="32"/>
                <w:vertAlign w:val="superscript"/>
              </w:rPr>
              <w:t>9</w:t>
            </w:r>
          </w:p>
        </w:tc>
        <w:tc>
          <w:tcPr>
            <w:tcW w:w="1979" w:type="dxa"/>
            <w:vAlign w:val="center"/>
          </w:tcPr>
          <w:p w:rsidR="007C465C" w:rsidRPr="007C465C" w:rsidRDefault="007C465C" w:rsidP="007C465C">
            <w:pPr>
              <w:rPr>
                <w:rFonts w:ascii="Comic Sans MS" w:hAnsi="Comic Sans MS" w:cs="Times New Roman"/>
                <w:sz w:val="32"/>
                <w:szCs w:val="32"/>
              </w:rPr>
            </w:pPr>
            <w:r>
              <w:rPr>
                <w:rFonts w:ascii="Comic Sans MS" w:hAnsi="Comic Sans MS" w:cs="Times New Roman"/>
                <w:sz w:val="32"/>
                <w:szCs w:val="32"/>
              </w:rPr>
              <w:t>miliarda</w:t>
            </w:r>
          </w:p>
        </w:tc>
      </w:tr>
      <w:tr w:rsidR="007C465C" w:rsidTr="007C465C">
        <w:trPr>
          <w:trHeight w:val="567"/>
        </w:trPr>
        <w:tc>
          <w:tcPr>
            <w:tcW w:w="1271" w:type="dxa"/>
            <w:vAlign w:val="center"/>
          </w:tcPr>
          <w:p w:rsidR="007C465C" w:rsidRPr="007C465C" w:rsidRDefault="007C465C" w:rsidP="007C465C">
            <w:pPr>
              <w:rPr>
                <w:rFonts w:ascii="Comic Sans MS" w:hAnsi="Comic Sans MS" w:cs="Times New Roman"/>
                <w:sz w:val="32"/>
                <w:szCs w:val="32"/>
              </w:rPr>
            </w:pPr>
            <w:proofErr w:type="spellStart"/>
            <w:r>
              <w:rPr>
                <w:rFonts w:ascii="Comic Sans MS" w:hAnsi="Comic Sans MS" w:cs="Times New Roman"/>
                <w:sz w:val="32"/>
                <w:szCs w:val="32"/>
              </w:rPr>
              <w:t>mega</w:t>
            </w:r>
            <w:proofErr w:type="spellEnd"/>
          </w:p>
        </w:tc>
        <w:tc>
          <w:tcPr>
            <w:tcW w:w="851" w:type="dxa"/>
            <w:vAlign w:val="center"/>
          </w:tcPr>
          <w:p w:rsidR="007C465C" w:rsidRPr="007C465C" w:rsidRDefault="007C465C" w:rsidP="007C465C">
            <w:pPr>
              <w:jc w:val="center"/>
              <w:rPr>
                <w:rFonts w:ascii="Comic Sans MS" w:hAnsi="Comic Sans MS" w:cs="Times New Roman"/>
                <w:sz w:val="32"/>
                <w:szCs w:val="32"/>
              </w:rPr>
            </w:pPr>
            <w:r>
              <w:rPr>
                <w:rFonts w:ascii="Comic Sans MS" w:hAnsi="Comic Sans MS" w:cs="Times New Roman"/>
                <w:sz w:val="32"/>
                <w:szCs w:val="32"/>
              </w:rPr>
              <w:t>M</w:t>
            </w:r>
          </w:p>
        </w:tc>
        <w:tc>
          <w:tcPr>
            <w:tcW w:w="3827" w:type="dxa"/>
            <w:vAlign w:val="center"/>
          </w:tcPr>
          <w:p w:rsidR="007C465C" w:rsidRPr="007C465C" w:rsidRDefault="007C465C" w:rsidP="007C465C">
            <w:pPr>
              <w:jc w:val="right"/>
              <w:rPr>
                <w:rFonts w:ascii="Comic Sans MS" w:hAnsi="Comic Sans MS" w:cs="Times New Roman"/>
                <w:sz w:val="32"/>
                <w:szCs w:val="32"/>
              </w:rPr>
            </w:pPr>
            <w:r>
              <w:rPr>
                <w:rFonts w:ascii="Comic Sans MS" w:hAnsi="Comic Sans MS" w:cs="Times New Roman"/>
                <w:sz w:val="32"/>
                <w:szCs w:val="32"/>
              </w:rPr>
              <w:t>1 000 000</w:t>
            </w:r>
          </w:p>
        </w:tc>
        <w:tc>
          <w:tcPr>
            <w:tcW w:w="1134" w:type="dxa"/>
            <w:vAlign w:val="center"/>
          </w:tcPr>
          <w:p w:rsidR="007C465C" w:rsidRPr="007C465C" w:rsidRDefault="007C465C" w:rsidP="007C465C">
            <w:pPr>
              <w:jc w:val="center"/>
              <w:rPr>
                <w:rFonts w:ascii="Comic Sans MS" w:hAnsi="Comic Sans MS" w:cs="Times New Roman"/>
                <w:sz w:val="32"/>
                <w:szCs w:val="32"/>
                <w:vertAlign w:val="superscript"/>
              </w:rPr>
            </w:pPr>
            <w:r>
              <w:rPr>
                <w:rFonts w:ascii="Comic Sans MS" w:hAnsi="Comic Sans MS" w:cs="Times New Roman"/>
                <w:sz w:val="32"/>
                <w:szCs w:val="32"/>
              </w:rPr>
              <w:t>10</w:t>
            </w:r>
            <w:r>
              <w:rPr>
                <w:rFonts w:ascii="Comic Sans MS" w:hAnsi="Comic Sans MS" w:cs="Times New Roman"/>
                <w:sz w:val="32"/>
                <w:szCs w:val="32"/>
                <w:vertAlign w:val="superscript"/>
              </w:rPr>
              <w:t>6</w:t>
            </w:r>
          </w:p>
        </w:tc>
        <w:tc>
          <w:tcPr>
            <w:tcW w:w="1979" w:type="dxa"/>
            <w:vAlign w:val="center"/>
          </w:tcPr>
          <w:p w:rsidR="007C465C" w:rsidRPr="007C465C" w:rsidRDefault="007C465C" w:rsidP="007C465C">
            <w:pPr>
              <w:rPr>
                <w:rFonts w:ascii="Comic Sans MS" w:hAnsi="Comic Sans MS" w:cs="Times New Roman"/>
                <w:sz w:val="32"/>
                <w:szCs w:val="32"/>
              </w:rPr>
            </w:pPr>
            <w:r>
              <w:rPr>
                <w:rFonts w:ascii="Comic Sans MS" w:hAnsi="Comic Sans MS" w:cs="Times New Roman"/>
                <w:sz w:val="32"/>
                <w:szCs w:val="32"/>
              </w:rPr>
              <w:t>milion</w:t>
            </w:r>
          </w:p>
        </w:tc>
      </w:tr>
      <w:tr w:rsidR="007C465C" w:rsidTr="007C465C">
        <w:trPr>
          <w:trHeight w:val="567"/>
        </w:trPr>
        <w:tc>
          <w:tcPr>
            <w:tcW w:w="1271" w:type="dxa"/>
            <w:vAlign w:val="center"/>
          </w:tcPr>
          <w:p w:rsidR="007C465C" w:rsidRPr="007C465C" w:rsidRDefault="007C465C" w:rsidP="007C465C">
            <w:pPr>
              <w:rPr>
                <w:rFonts w:ascii="Comic Sans MS" w:hAnsi="Comic Sans MS" w:cs="Times New Roman"/>
                <w:sz w:val="32"/>
                <w:szCs w:val="32"/>
              </w:rPr>
            </w:pPr>
            <w:r w:rsidRPr="007C465C">
              <w:rPr>
                <w:rFonts w:ascii="Comic Sans MS" w:hAnsi="Comic Sans MS" w:cs="Times New Roman"/>
                <w:sz w:val="32"/>
                <w:szCs w:val="32"/>
              </w:rPr>
              <w:t>kilo</w:t>
            </w:r>
          </w:p>
        </w:tc>
        <w:tc>
          <w:tcPr>
            <w:tcW w:w="851" w:type="dxa"/>
            <w:vAlign w:val="center"/>
          </w:tcPr>
          <w:p w:rsidR="007C465C" w:rsidRPr="007C465C" w:rsidRDefault="007C465C" w:rsidP="007C465C">
            <w:pPr>
              <w:jc w:val="center"/>
              <w:rPr>
                <w:rFonts w:ascii="Comic Sans MS" w:hAnsi="Comic Sans MS" w:cs="Times New Roman"/>
                <w:sz w:val="32"/>
                <w:szCs w:val="32"/>
              </w:rPr>
            </w:pPr>
            <w:r w:rsidRPr="007C465C">
              <w:rPr>
                <w:rFonts w:ascii="Comic Sans MS" w:hAnsi="Comic Sans MS" w:cs="Times New Roman"/>
                <w:sz w:val="32"/>
                <w:szCs w:val="32"/>
              </w:rPr>
              <w:t>k</w:t>
            </w:r>
          </w:p>
        </w:tc>
        <w:tc>
          <w:tcPr>
            <w:tcW w:w="3827" w:type="dxa"/>
            <w:vAlign w:val="center"/>
          </w:tcPr>
          <w:p w:rsidR="007C465C" w:rsidRPr="007C465C" w:rsidRDefault="007C465C" w:rsidP="007C465C">
            <w:pPr>
              <w:jc w:val="right"/>
              <w:rPr>
                <w:rFonts w:ascii="Comic Sans MS" w:hAnsi="Comic Sans MS" w:cs="Times New Roman"/>
                <w:sz w:val="32"/>
                <w:szCs w:val="32"/>
              </w:rPr>
            </w:pPr>
            <w:r w:rsidRPr="007C465C">
              <w:rPr>
                <w:rFonts w:ascii="Comic Sans MS" w:hAnsi="Comic Sans MS" w:cs="Times New Roman"/>
                <w:sz w:val="32"/>
                <w:szCs w:val="32"/>
              </w:rPr>
              <w:t>1 000</w:t>
            </w:r>
          </w:p>
        </w:tc>
        <w:tc>
          <w:tcPr>
            <w:tcW w:w="1134" w:type="dxa"/>
            <w:vAlign w:val="center"/>
          </w:tcPr>
          <w:p w:rsidR="007C465C" w:rsidRPr="007C465C" w:rsidRDefault="007C465C" w:rsidP="007C465C">
            <w:pPr>
              <w:jc w:val="center"/>
              <w:rPr>
                <w:rFonts w:ascii="Comic Sans MS" w:hAnsi="Comic Sans MS" w:cs="Times New Roman"/>
                <w:sz w:val="32"/>
                <w:szCs w:val="32"/>
              </w:rPr>
            </w:pPr>
            <w:r w:rsidRPr="007C465C">
              <w:rPr>
                <w:rFonts w:ascii="Comic Sans MS" w:hAnsi="Comic Sans MS" w:cs="Times New Roman"/>
                <w:sz w:val="32"/>
                <w:szCs w:val="32"/>
              </w:rPr>
              <w:t>10</w:t>
            </w:r>
            <w:r w:rsidRPr="007C465C">
              <w:rPr>
                <w:rFonts w:ascii="Comic Sans MS" w:hAnsi="Comic Sans MS" w:cs="Times New Roman"/>
                <w:sz w:val="32"/>
                <w:szCs w:val="32"/>
                <w:vertAlign w:val="superscript"/>
              </w:rPr>
              <w:t>3</w:t>
            </w:r>
          </w:p>
        </w:tc>
        <w:tc>
          <w:tcPr>
            <w:tcW w:w="1979" w:type="dxa"/>
            <w:vAlign w:val="center"/>
          </w:tcPr>
          <w:p w:rsidR="007C465C" w:rsidRPr="007C465C" w:rsidRDefault="007C465C" w:rsidP="007C465C">
            <w:pPr>
              <w:rPr>
                <w:rFonts w:ascii="Comic Sans MS" w:hAnsi="Comic Sans MS" w:cs="Times New Roman"/>
                <w:sz w:val="32"/>
                <w:szCs w:val="32"/>
              </w:rPr>
            </w:pPr>
            <w:r>
              <w:rPr>
                <w:rFonts w:ascii="Comic Sans MS" w:hAnsi="Comic Sans MS" w:cs="Times New Roman"/>
                <w:sz w:val="32"/>
                <w:szCs w:val="32"/>
              </w:rPr>
              <w:t>tisíc</w:t>
            </w:r>
          </w:p>
        </w:tc>
      </w:tr>
    </w:tbl>
    <w:p w:rsidR="007C465C" w:rsidRDefault="007C465C" w:rsidP="007C465C">
      <w:pPr>
        <w:rPr>
          <w:rFonts w:ascii="Times New Roman" w:hAnsi="Times New Roman" w:cs="Times New Roman"/>
          <w:sz w:val="24"/>
          <w:szCs w:val="24"/>
        </w:rPr>
      </w:pPr>
    </w:p>
    <w:p w:rsidR="00C74CCD" w:rsidRDefault="00C74CCD" w:rsidP="007C465C">
      <w:pPr>
        <w:rPr>
          <w:rFonts w:ascii="Times New Roman" w:hAnsi="Times New Roman" w:cs="Times New Roman"/>
          <w:sz w:val="24"/>
          <w:szCs w:val="24"/>
        </w:rPr>
      </w:pPr>
    </w:p>
    <w:p w:rsidR="007C465C" w:rsidRDefault="007C465C" w:rsidP="007C465C">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31"/>
        <w:gridCol w:w="4531"/>
      </w:tblGrid>
      <w:tr w:rsidR="0061218D" w:rsidTr="0061218D">
        <w:trPr>
          <w:trHeight w:val="567"/>
        </w:trPr>
        <w:tc>
          <w:tcPr>
            <w:tcW w:w="4531" w:type="dxa"/>
            <w:vAlign w:val="center"/>
          </w:tcPr>
          <w:p w:rsidR="0061218D" w:rsidRPr="0061218D" w:rsidRDefault="0061218D" w:rsidP="0061218D">
            <w:pPr>
              <w:rPr>
                <w:rFonts w:ascii="Comic Sans MS" w:hAnsi="Comic Sans MS" w:cs="Times New Roman"/>
                <w:sz w:val="32"/>
                <w:szCs w:val="32"/>
              </w:rPr>
            </w:pPr>
            <w:r>
              <w:rPr>
                <w:rFonts w:ascii="Comic Sans MS" w:hAnsi="Comic Sans MS" w:cs="Times New Roman"/>
                <w:sz w:val="32"/>
                <w:szCs w:val="32"/>
              </w:rPr>
              <w:t>spálením 1 kg biomasy</w:t>
            </w:r>
          </w:p>
        </w:tc>
        <w:tc>
          <w:tcPr>
            <w:tcW w:w="4531" w:type="dxa"/>
            <w:vAlign w:val="center"/>
          </w:tcPr>
          <w:p w:rsidR="0061218D" w:rsidRPr="0061218D" w:rsidRDefault="0061218D" w:rsidP="0061218D">
            <w:pPr>
              <w:rPr>
                <w:rFonts w:ascii="Comic Sans MS" w:hAnsi="Comic Sans MS" w:cs="Times New Roman"/>
                <w:sz w:val="32"/>
                <w:szCs w:val="32"/>
              </w:rPr>
            </w:pPr>
            <w:r>
              <w:rPr>
                <w:rFonts w:ascii="Comic Sans MS" w:hAnsi="Comic Sans MS" w:cs="Times New Roman"/>
                <w:sz w:val="32"/>
                <w:szCs w:val="32"/>
              </w:rPr>
              <w:t xml:space="preserve">vznikne 4,07 kWh energie </w:t>
            </w:r>
          </w:p>
        </w:tc>
      </w:tr>
      <w:tr w:rsidR="0061218D" w:rsidTr="0061218D">
        <w:trPr>
          <w:trHeight w:val="567"/>
        </w:trPr>
        <w:tc>
          <w:tcPr>
            <w:tcW w:w="4531" w:type="dxa"/>
            <w:vAlign w:val="center"/>
          </w:tcPr>
          <w:p w:rsidR="0061218D" w:rsidRPr="0061218D" w:rsidRDefault="0061218D" w:rsidP="0061218D">
            <w:pPr>
              <w:rPr>
                <w:rFonts w:ascii="Comic Sans MS" w:hAnsi="Comic Sans MS" w:cs="Times New Roman"/>
                <w:sz w:val="32"/>
                <w:szCs w:val="32"/>
              </w:rPr>
            </w:pPr>
            <w:r>
              <w:rPr>
                <w:rFonts w:ascii="Comic Sans MS" w:hAnsi="Comic Sans MS" w:cs="Times New Roman"/>
                <w:sz w:val="32"/>
                <w:szCs w:val="32"/>
              </w:rPr>
              <w:t>spálením 1 t uhlíku</w:t>
            </w:r>
          </w:p>
        </w:tc>
        <w:tc>
          <w:tcPr>
            <w:tcW w:w="4531" w:type="dxa"/>
            <w:vAlign w:val="center"/>
          </w:tcPr>
          <w:p w:rsidR="0061218D" w:rsidRPr="0061218D" w:rsidRDefault="0061218D" w:rsidP="0061218D">
            <w:pPr>
              <w:rPr>
                <w:rFonts w:ascii="Comic Sans MS" w:hAnsi="Comic Sans MS" w:cs="Times New Roman"/>
                <w:sz w:val="32"/>
                <w:szCs w:val="32"/>
              </w:rPr>
            </w:pPr>
            <w:r>
              <w:rPr>
                <w:rFonts w:ascii="Comic Sans MS" w:hAnsi="Comic Sans MS" w:cs="Times New Roman"/>
                <w:sz w:val="32"/>
                <w:szCs w:val="32"/>
              </w:rPr>
              <w:t>vznikne 3,67 t emisí CO</w:t>
            </w:r>
            <w:r>
              <w:rPr>
                <w:rFonts w:ascii="Comic Sans MS" w:hAnsi="Comic Sans MS" w:cs="Times New Roman"/>
                <w:sz w:val="32"/>
                <w:szCs w:val="32"/>
                <w:vertAlign w:val="subscript"/>
              </w:rPr>
              <w:t>2</w:t>
            </w:r>
          </w:p>
        </w:tc>
      </w:tr>
      <w:tr w:rsidR="0061218D" w:rsidTr="0061218D">
        <w:trPr>
          <w:trHeight w:val="567"/>
        </w:trPr>
        <w:tc>
          <w:tcPr>
            <w:tcW w:w="4531" w:type="dxa"/>
            <w:vAlign w:val="center"/>
          </w:tcPr>
          <w:p w:rsidR="0061218D" w:rsidRPr="0061218D" w:rsidRDefault="009E2977" w:rsidP="0061218D">
            <w:pPr>
              <w:rPr>
                <w:rFonts w:ascii="Comic Sans MS" w:hAnsi="Comic Sans MS" w:cs="Times New Roman"/>
                <w:sz w:val="32"/>
                <w:szCs w:val="32"/>
              </w:rPr>
            </w:pPr>
            <w:r>
              <w:rPr>
                <w:rFonts w:ascii="Comic Sans MS" w:hAnsi="Comic Sans MS" w:cs="Times New Roman"/>
                <w:sz w:val="32"/>
                <w:szCs w:val="32"/>
              </w:rPr>
              <w:t>1 barel ropy</w:t>
            </w:r>
          </w:p>
        </w:tc>
        <w:tc>
          <w:tcPr>
            <w:tcW w:w="4531" w:type="dxa"/>
            <w:vAlign w:val="center"/>
          </w:tcPr>
          <w:p w:rsidR="0061218D" w:rsidRPr="0061218D" w:rsidRDefault="009E2977" w:rsidP="0061218D">
            <w:pPr>
              <w:rPr>
                <w:rFonts w:ascii="Comic Sans MS" w:hAnsi="Comic Sans MS" w:cs="Times New Roman"/>
                <w:sz w:val="32"/>
                <w:szCs w:val="32"/>
              </w:rPr>
            </w:pPr>
            <w:r>
              <w:rPr>
                <w:rFonts w:ascii="Comic Sans MS" w:hAnsi="Comic Sans MS" w:cs="Times New Roman"/>
                <w:sz w:val="32"/>
                <w:szCs w:val="32"/>
              </w:rPr>
              <w:t>hmotnost 97 – 160 kg</w:t>
            </w:r>
          </w:p>
        </w:tc>
      </w:tr>
      <w:tr w:rsidR="0061218D" w:rsidTr="0061218D">
        <w:trPr>
          <w:trHeight w:val="567"/>
        </w:trPr>
        <w:tc>
          <w:tcPr>
            <w:tcW w:w="4531" w:type="dxa"/>
            <w:vAlign w:val="center"/>
          </w:tcPr>
          <w:p w:rsidR="0061218D" w:rsidRPr="0061218D" w:rsidRDefault="009E2977" w:rsidP="0061218D">
            <w:pPr>
              <w:rPr>
                <w:rFonts w:ascii="Comic Sans MS" w:hAnsi="Comic Sans MS" w:cs="Times New Roman"/>
                <w:sz w:val="32"/>
                <w:szCs w:val="32"/>
              </w:rPr>
            </w:pPr>
            <w:r>
              <w:rPr>
                <w:rFonts w:ascii="Comic Sans MS" w:hAnsi="Comic Sans MS" w:cs="Times New Roman"/>
                <w:sz w:val="32"/>
                <w:szCs w:val="32"/>
              </w:rPr>
              <w:t>1 t zemního plynu</w:t>
            </w:r>
          </w:p>
        </w:tc>
        <w:tc>
          <w:tcPr>
            <w:tcW w:w="4531" w:type="dxa"/>
            <w:vAlign w:val="center"/>
          </w:tcPr>
          <w:p w:rsidR="0061218D" w:rsidRPr="009E2977" w:rsidRDefault="009E2977" w:rsidP="0061218D">
            <w:pPr>
              <w:rPr>
                <w:rFonts w:ascii="Comic Sans MS" w:hAnsi="Comic Sans MS" w:cs="Times New Roman"/>
                <w:sz w:val="32"/>
                <w:szCs w:val="32"/>
                <w:vertAlign w:val="superscript"/>
              </w:rPr>
            </w:pPr>
            <w:r>
              <w:rPr>
                <w:rFonts w:ascii="Comic Sans MS" w:hAnsi="Comic Sans MS" w:cs="Times New Roman"/>
                <w:sz w:val="32"/>
                <w:szCs w:val="32"/>
              </w:rPr>
              <w:t>objem 1380 m</w:t>
            </w:r>
            <w:r>
              <w:rPr>
                <w:rFonts w:ascii="Comic Sans MS" w:hAnsi="Comic Sans MS" w:cs="Times New Roman"/>
                <w:sz w:val="32"/>
                <w:szCs w:val="32"/>
                <w:vertAlign w:val="superscript"/>
              </w:rPr>
              <w:t>3</w:t>
            </w:r>
          </w:p>
        </w:tc>
      </w:tr>
      <w:tr w:rsidR="0061218D" w:rsidTr="0061218D">
        <w:trPr>
          <w:trHeight w:val="567"/>
        </w:trPr>
        <w:tc>
          <w:tcPr>
            <w:tcW w:w="4531" w:type="dxa"/>
            <w:vAlign w:val="center"/>
          </w:tcPr>
          <w:p w:rsidR="0061218D" w:rsidRPr="009E2977" w:rsidRDefault="009E2977" w:rsidP="0061218D">
            <w:pPr>
              <w:rPr>
                <w:rFonts w:ascii="Comic Sans MS" w:hAnsi="Comic Sans MS" w:cs="Times New Roman"/>
                <w:sz w:val="32"/>
                <w:szCs w:val="32"/>
              </w:rPr>
            </w:pPr>
            <w:r>
              <w:rPr>
                <w:rFonts w:ascii="Comic Sans MS" w:hAnsi="Comic Sans MS" w:cs="Times New Roman"/>
                <w:sz w:val="32"/>
                <w:szCs w:val="32"/>
              </w:rPr>
              <w:t>1000 m</w:t>
            </w:r>
            <w:r>
              <w:rPr>
                <w:rFonts w:ascii="Comic Sans MS" w:hAnsi="Comic Sans MS" w:cs="Times New Roman"/>
                <w:sz w:val="32"/>
                <w:szCs w:val="32"/>
                <w:vertAlign w:val="superscript"/>
              </w:rPr>
              <w:t>3</w:t>
            </w:r>
            <w:r>
              <w:rPr>
                <w:rFonts w:ascii="Comic Sans MS" w:hAnsi="Comic Sans MS" w:cs="Times New Roman"/>
                <w:sz w:val="32"/>
                <w:szCs w:val="32"/>
              </w:rPr>
              <w:t xml:space="preserve"> zemního plynu</w:t>
            </w:r>
          </w:p>
        </w:tc>
        <w:tc>
          <w:tcPr>
            <w:tcW w:w="4531" w:type="dxa"/>
            <w:vAlign w:val="center"/>
          </w:tcPr>
          <w:p w:rsidR="0061218D" w:rsidRPr="0061218D" w:rsidRDefault="009E2977" w:rsidP="0061218D">
            <w:pPr>
              <w:rPr>
                <w:rFonts w:ascii="Comic Sans MS" w:hAnsi="Comic Sans MS" w:cs="Times New Roman"/>
                <w:sz w:val="32"/>
                <w:szCs w:val="32"/>
              </w:rPr>
            </w:pPr>
            <w:r>
              <w:rPr>
                <w:rFonts w:ascii="Comic Sans MS" w:hAnsi="Comic Sans MS" w:cs="Times New Roman"/>
                <w:sz w:val="32"/>
                <w:szCs w:val="32"/>
              </w:rPr>
              <w:t>hmotnost 0,9 t</w:t>
            </w:r>
          </w:p>
        </w:tc>
      </w:tr>
      <w:tr w:rsidR="0061218D" w:rsidTr="0061218D">
        <w:trPr>
          <w:trHeight w:val="567"/>
        </w:trPr>
        <w:tc>
          <w:tcPr>
            <w:tcW w:w="4531" w:type="dxa"/>
            <w:vAlign w:val="center"/>
          </w:tcPr>
          <w:p w:rsidR="0061218D" w:rsidRPr="009E2977" w:rsidRDefault="009E2977" w:rsidP="0061218D">
            <w:pPr>
              <w:rPr>
                <w:rFonts w:ascii="Comic Sans MS" w:hAnsi="Comic Sans MS" w:cs="Times New Roman"/>
                <w:sz w:val="32"/>
                <w:szCs w:val="32"/>
              </w:rPr>
            </w:pPr>
            <w:r>
              <w:rPr>
                <w:rFonts w:ascii="Comic Sans MS" w:hAnsi="Comic Sans MS" w:cs="Times New Roman"/>
                <w:sz w:val="32"/>
                <w:szCs w:val="32"/>
              </w:rPr>
              <w:t>1 kg zemního plynu (1,3 m</w:t>
            </w:r>
            <w:r>
              <w:rPr>
                <w:rFonts w:ascii="Comic Sans MS" w:hAnsi="Comic Sans MS" w:cs="Times New Roman"/>
                <w:sz w:val="32"/>
                <w:szCs w:val="32"/>
                <w:vertAlign w:val="superscript"/>
              </w:rPr>
              <w:t>3</w:t>
            </w:r>
            <w:r>
              <w:rPr>
                <w:rFonts w:ascii="Comic Sans MS" w:hAnsi="Comic Sans MS" w:cs="Times New Roman"/>
                <w:sz w:val="32"/>
                <w:szCs w:val="32"/>
              </w:rPr>
              <w:t>)</w:t>
            </w:r>
          </w:p>
        </w:tc>
        <w:tc>
          <w:tcPr>
            <w:tcW w:w="4531" w:type="dxa"/>
            <w:vAlign w:val="center"/>
          </w:tcPr>
          <w:p w:rsidR="0061218D" w:rsidRPr="0061218D" w:rsidRDefault="009E2977" w:rsidP="0061218D">
            <w:pPr>
              <w:rPr>
                <w:rFonts w:ascii="Comic Sans MS" w:hAnsi="Comic Sans MS" w:cs="Times New Roman"/>
                <w:sz w:val="32"/>
                <w:szCs w:val="32"/>
              </w:rPr>
            </w:pPr>
            <w:r>
              <w:rPr>
                <w:rFonts w:ascii="Comic Sans MS" w:hAnsi="Comic Sans MS" w:cs="Times New Roman"/>
                <w:sz w:val="32"/>
                <w:szCs w:val="32"/>
              </w:rPr>
              <w:t>odpovídá 12,2 kWh energie</w:t>
            </w:r>
          </w:p>
        </w:tc>
      </w:tr>
    </w:tbl>
    <w:p w:rsidR="007C465C" w:rsidRDefault="007C465C" w:rsidP="007C465C">
      <w:pPr>
        <w:rPr>
          <w:rFonts w:ascii="Times New Roman" w:hAnsi="Times New Roman" w:cs="Times New Roman"/>
          <w:sz w:val="24"/>
          <w:szCs w:val="24"/>
        </w:rPr>
      </w:pPr>
    </w:p>
    <w:p w:rsidR="00C74CCD" w:rsidRDefault="00C74CCD" w:rsidP="007C465C">
      <w:pPr>
        <w:rPr>
          <w:rFonts w:ascii="Times New Roman" w:hAnsi="Times New Roman" w:cs="Times New Roman"/>
          <w:sz w:val="24"/>
          <w:szCs w:val="24"/>
        </w:rPr>
      </w:pPr>
    </w:p>
    <w:p w:rsidR="00C74CCD" w:rsidRDefault="00C74CCD" w:rsidP="007C465C">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31"/>
        <w:gridCol w:w="4531"/>
      </w:tblGrid>
      <w:tr w:rsidR="00C74CCD" w:rsidTr="00C74CCD">
        <w:trPr>
          <w:trHeight w:val="567"/>
        </w:trPr>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1 barel = 159 litrů</w:t>
            </w:r>
          </w:p>
        </w:tc>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 xml:space="preserve">Práce W = </w:t>
            </w:r>
            <w:proofErr w:type="spellStart"/>
            <w:r>
              <w:rPr>
                <w:rFonts w:ascii="Comic Sans MS" w:hAnsi="Comic Sans MS" w:cs="Times New Roman"/>
                <w:sz w:val="32"/>
                <w:szCs w:val="32"/>
              </w:rPr>
              <w:t>F·s</w:t>
            </w:r>
            <w:proofErr w:type="spellEnd"/>
            <w:r>
              <w:rPr>
                <w:rFonts w:ascii="Comic Sans MS" w:hAnsi="Comic Sans MS" w:cs="Times New Roman"/>
                <w:sz w:val="32"/>
                <w:szCs w:val="32"/>
              </w:rPr>
              <w:t xml:space="preserve"> (joule)</w:t>
            </w:r>
          </w:p>
        </w:tc>
      </w:tr>
      <w:tr w:rsidR="00C74CCD" w:rsidTr="00C74CCD">
        <w:trPr>
          <w:trHeight w:val="567"/>
        </w:trPr>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1 galon = 3,8 litru</w:t>
            </w:r>
          </w:p>
        </w:tc>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Výkon P = W/t (watt)</w:t>
            </w:r>
          </w:p>
        </w:tc>
      </w:tr>
      <w:tr w:rsidR="00C74CCD" w:rsidTr="00C74CCD">
        <w:trPr>
          <w:trHeight w:val="567"/>
        </w:trPr>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 xml:space="preserve">1 </w:t>
            </w:r>
            <w:proofErr w:type="spellStart"/>
            <w:r>
              <w:rPr>
                <w:rFonts w:ascii="Comic Sans MS" w:hAnsi="Comic Sans MS" w:cs="Times New Roman"/>
                <w:sz w:val="32"/>
                <w:szCs w:val="32"/>
              </w:rPr>
              <w:t>ppm</w:t>
            </w:r>
            <w:proofErr w:type="spellEnd"/>
            <w:r>
              <w:rPr>
                <w:rFonts w:ascii="Comic Sans MS" w:hAnsi="Comic Sans MS" w:cs="Times New Roman"/>
                <w:sz w:val="32"/>
                <w:szCs w:val="32"/>
              </w:rPr>
              <w:t xml:space="preserve"> = 0,0001 %</w:t>
            </w:r>
          </w:p>
        </w:tc>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W (watt) = J·s</w:t>
            </w:r>
            <w:r>
              <w:rPr>
                <w:rFonts w:ascii="Comic Sans MS" w:hAnsi="Comic Sans MS" w:cs="Times New Roman"/>
                <w:sz w:val="32"/>
                <w:szCs w:val="32"/>
                <w:vertAlign w:val="superscript"/>
              </w:rPr>
              <w:t>-1</w:t>
            </w:r>
          </w:p>
        </w:tc>
      </w:tr>
      <w:tr w:rsidR="00C74CCD" w:rsidTr="00C74CCD">
        <w:trPr>
          <w:trHeight w:val="567"/>
        </w:trPr>
        <w:tc>
          <w:tcPr>
            <w:tcW w:w="4531" w:type="dxa"/>
            <w:vAlign w:val="center"/>
          </w:tcPr>
          <w:p w:rsidR="00C74CCD" w:rsidRPr="00C74CCD" w:rsidRDefault="00C74CCD" w:rsidP="00C74CCD">
            <w:pPr>
              <w:rPr>
                <w:rFonts w:ascii="Comic Sans MS" w:hAnsi="Comic Sans MS" w:cs="Times New Roman"/>
                <w:sz w:val="32"/>
                <w:szCs w:val="32"/>
              </w:rPr>
            </w:pPr>
            <w:r>
              <w:rPr>
                <w:rFonts w:ascii="Comic Sans MS" w:hAnsi="Comic Sans MS" w:cs="Times New Roman"/>
                <w:sz w:val="32"/>
                <w:szCs w:val="32"/>
              </w:rPr>
              <w:t>1 kWh = 3,6 MJ</w:t>
            </w:r>
          </w:p>
        </w:tc>
        <w:tc>
          <w:tcPr>
            <w:tcW w:w="4531" w:type="dxa"/>
            <w:vAlign w:val="center"/>
          </w:tcPr>
          <w:p w:rsidR="00C74CCD" w:rsidRPr="00B31FC7" w:rsidRDefault="00B31FC7" w:rsidP="00B31FC7">
            <w:pPr>
              <w:rPr>
                <w:rFonts w:ascii="Comic Sans MS" w:hAnsi="Comic Sans MS" w:cs="Times New Roman"/>
                <w:sz w:val="32"/>
                <w:szCs w:val="32"/>
                <w:vertAlign w:val="superscript"/>
              </w:rPr>
            </w:pPr>
            <w:r>
              <w:rPr>
                <w:rFonts w:ascii="Comic Sans MS" w:hAnsi="Comic Sans MS" w:cs="Times New Roman"/>
                <w:sz w:val="32"/>
                <w:szCs w:val="32"/>
              </w:rPr>
              <w:t>1 km</w:t>
            </w:r>
            <w:r>
              <w:rPr>
                <w:rFonts w:ascii="Comic Sans MS" w:hAnsi="Comic Sans MS" w:cs="Times New Roman"/>
                <w:sz w:val="32"/>
                <w:szCs w:val="32"/>
                <w:vertAlign w:val="superscript"/>
              </w:rPr>
              <w:t>2</w:t>
            </w:r>
            <w:r>
              <w:rPr>
                <w:rFonts w:ascii="Comic Sans MS" w:hAnsi="Comic Sans MS" w:cs="Times New Roman"/>
                <w:sz w:val="32"/>
                <w:szCs w:val="32"/>
              </w:rPr>
              <w:t xml:space="preserve"> = 100 hektarů (ha)</w:t>
            </w:r>
          </w:p>
        </w:tc>
      </w:tr>
    </w:tbl>
    <w:p w:rsidR="00E80EC9" w:rsidRPr="000644C4" w:rsidRDefault="00E80EC9" w:rsidP="007456D1">
      <w:pPr>
        <w:pBdr>
          <w:bottom w:val="single" w:sz="4" w:space="1" w:color="auto"/>
        </w:pBdr>
        <w:jc w:val="center"/>
        <w:rPr>
          <w:rFonts w:ascii="Verdana" w:hAnsi="Verdana"/>
          <w:color w:val="0070C0"/>
          <w:sz w:val="40"/>
          <w:szCs w:val="40"/>
        </w:rPr>
      </w:pPr>
      <w:r w:rsidRPr="000644C4">
        <w:rPr>
          <w:rFonts w:ascii="Verdana" w:hAnsi="Verdana"/>
          <w:color w:val="0070C0"/>
          <w:sz w:val="40"/>
          <w:szCs w:val="40"/>
        </w:rPr>
        <w:lastRenderedPageBreak/>
        <w:t>Víte, že …</w:t>
      </w:r>
      <w:r w:rsidR="008D033F" w:rsidRPr="000644C4">
        <w:rPr>
          <w:rFonts w:ascii="Verdana" w:hAnsi="Verdana"/>
          <w:color w:val="0070C0"/>
          <w:sz w:val="40"/>
          <w:szCs w:val="40"/>
        </w:rPr>
        <w:t>(o oxidu uhličitém)</w:t>
      </w:r>
    </w:p>
    <w:p w:rsidR="00E80EC9" w:rsidRDefault="00E80EC9" w:rsidP="007C465C">
      <w:pPr>
        <w:rPr>
          <w:rFonts w:ascii="Times New Roman" w:hAnsi="Times New Roman" w:cs="Times New Roman"/>
          <w:sz w:val="24"/>
          <w:szCs w:val="24"/>
        </w:rPr>
      </w:pPr>
    </w:p>
    <w:p w:rsidR="00E80EC9" w:rsidRPr="000644C4" w:rsidRDefault="00E80EC9"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Oxid uhličitý (CO</w:t>
      </w:r>
      <w:r w:rsidRPr="000644C4">
        <w:rPr>
          <w:rFonts w:ascii="Courier New" w:hAnsi="Courier New" w:cs="Courier New"/>
          <w:sz w:val="32"/>
          <w:szCs w:val="32"/>
          <w:vertAlign w:val="subscript"/>
        </w:rPr>
        <w:t>2</w:t>
      </w:r>
      <w:r w:rsidRPr="000644C4">
        <w:rPr>
          <w:rFonts w:ascii="Courier New" w:hAnsi="Courier New" w:cs="Courier New"/>
          <w:sz w:val="32"/>
          <w:szCs w:val="32"/>
        </w:rPr>
        <w:t>) je skleníkový plyn, který výrazně přispívá k zadržování energie Slunce na planetě a tím k oteplování celkového klimatu</w:t>
      </w:r>
      <w:r w:rsidR="000644C4" w:rsidRPr="000644C4">
        <w:rPr>
          <w:rFonts w:ascii="Courier New" w:hAnsi="Courier New" w:cs="Courier New"/>
          <w:sz w:val="32"/>
          <w:szCs w:val="32"/>
        </w:rPr>
        <w:t>.</w:t>
      </w:r>
    </w:p>
    <w:p w:rsidR="00E80EC9" w:rsidRPr="000644C4" w:rsidRDefault="00E80EC9"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Množství CO</w:t>
      </w:r>
      <w:r w:rsidRPr="000644C4">
        <w:rPr>
          <w:rFonts w:ascii="Courier New" w:hAnsi="Courier New" w:cs="Courier New"/>
          <w:sz w:val="32"/>
          <w:szCs w:val="32"/>
          <w:vertAlign w:val="subscript"/>
        </w:rPr>
        <w:t>2</w:t>
      </w:r>
      <w:r w:rsidRPr="000644C4">
        <w:rPr>
          <w:rFonts w:ascii="Courier New" w:hAnsi="Courier New" w:cs="Courier New"/>
          <w:sz w:val="32"/>
          <w:szCs w:val="32"/>
        </w:rPr>
        <w:t xml:space="preserve"> v atmosféře stouplo za posledních 200 let z 280 </w:t>
      </w:r>
      <w:proofErr w:type="spellStart"/>
      <w:r w:rsidRPr="000644C4">
        <w:rPr>
          <w:rFonts w:ascii="Courier New" w:hAnsi="Courier New" w:cs="Courier New"/>
          <w:sz w:val="32"/>
          <w:szCs w:val="32"/>
        </w:rPr>
        <w:t>ppm</w:t>
      </w:r>
      <w:proofErr w:type="spellEnd"/>
      <w:r w:rsidRPr="000644C4">
        <w:rPr>
          <w:rFonts w:ascii="Courier New" w:hAnsi="Courier New" w:cs="Courier New"/>
          <w:sz w:val="32"/>
          <w:szCs w:val="32"/>
        </w:rPr>
        <w:t xml:space="preserve"> na současných 400 </w:t>
      </w:r>
      <w:proofErr w:type="spellStart"/>
      <w:r w:rsidRPr="000644C4">
        <w:rPr>
          <w:rFonts w:ascii="Courier New" w:hAnsi="Courier New" w:cs="Courier New"/>
          <w:sz w:val="32"/>
          <w:szCs w:val="32"/>
        </w:rPr>
        <w:t>ppm</w:t>
      </w:r>
      <w:proofErr w:type="spellEnd"/>
      <w:r w:rsidRPr="000644C4">
        <w:rPr>
          <w:rFonts w:ascii="Courier New" w:hAnsi="Courier New" w:cs="Courier New"/>
          <w:sz w:val="32"/>
          <w:szCs w:val="32"/>
        </w:rPr>
        <w:t xml:space="preserve"> a trend je neustále rostoucí</w:t>
      </w:r>
      <w:r w:rsidR="000644C4" w:rsidRPr="000644C4">
        <w:rPr>
          <w:rFonts w:ascii="Courier New" w:hAnsi="Courier New" w:cs="Courier New"/>
          <w:sz w:val="32"/>
          <w:szCs w:val="32"/>
        </w:rPr>
        <w:t>.</w:t>
      </w:r>
    </w:p>
    <w:p w:rsidR="008D033F" w:rsidRPr="000644C4" w:rsidRDefault="008D033F"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Největším producentem CO</w:t>
      </w:r>
      <w:r w:rsidRPr="000644C4">
        <w:rPr>
          <w:rFonts w:ascii="Courier New" w:hAnsi="Courier New" w:cs="Courier New"/>
          <w:sz w:val="32"/>
          <w:szCs w:val="32"/>
          <w:vertAlign w:val="subscript"/>
        </w:rPr>
        <w:t>2</w:t>
      </w:r>
      <w:r w:rsidRPr="000644C4">
        <w:rPr>
          <w:rFonts w:ascii="Courier New" w:hAnsi="Courier New" w:cs="Courier New"/>
          <w:sz w:val="32"/>
          <w:szCs w:val="32"/>
        </w:rPr>
        <w:t xml:space="preserve"> </w:t>
      </w:r>
      <w:r w:rsidR="000644C4" w:rsidRPr="000644C4">
        <w:rPr>
          <w:rFonts w:ascii="Courier New" w:hAnsi="Courier New" w:cs="Courier New"/>
          <w:sz w:val="32"/>
          <w:szCs w:val="32"/>
        </w:rPr>
        <w:t>je v celo</w:t>
      </w:r>
      <w:r w:rsidRPr="000644C4">
        <w:rPr>
          <w:rFonts w:ascii="Courier New" w:hAnsi="Courier New" w:cs="Courier New"/>
          <w:sz w:val="32"/>
          <w:szCs w:val="32"/>
        </w:rPr>
        <w:t>svět</w:t>
      </w:r>
      <w:r w:rsidR="000644C4" w:rsidRPr="000644C4">
        <w:rPr>
          <w:rFonts w:ascii="Courier New" w:hAnsi="Courier New" w:cs="Courier New"/>
          <w:sz w:val="32"/>
          <w:szCs w:val="32"/>
        </w:rPr>
        <w:t>ovém měřítku</w:t>
      </w:r>
      <w:r w:rsidRPr="000644C4">
        <w:rPr>
          <w:rFonts w:ascii="Courier New" w:hAnsi="Courier New" w:cs="Courier New"/>
          <w:sz w:val="32"/>
          <w:szCs w:val="32"/>
        </w:rPr>
        <w:t xml:space="preserve"> výroba elektřiny</w:t>
      </w:r>
      <w:r w:rsidR="000644C4" w:rsidRPr="000644C4">
        <w:rPr>
          <w:rFonts w:ascii="Courier New" w:hAnsi="Courier New" w:cs="Courier New"/>
          <w:sz w:val="32"/>
          <w:szCs w:val="32"/>
        </w:rPr>
        <w:t>.</w:t>
      </w:r>
    </w:p>
    <w:p w:rsidR="00E80EC9" w:rsidRPr="000644C4" w:rsidRDefault="00E80EC9"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Spálením jedné tuny čistého uhlíku (</w:t>
      </w:r>
      <w:r w:rsidR="00875679" w:rsidRPr="000644C4">
        <w:rPr>
          <w:rFonts w:ascii="Courier New" w:hAnsi="Courier New" w:cs="Courier New"/>
          <w:sz w:val="32"/>
          <w:szCs w:val="32"/>
        </w:rPr>
        <w:t>asi 1,3 tuny černého uhlí a 1,5 tuny hnědého uhlí) vznikne 3,67 tuny CO</w:t>
      </w:r>
      <w:r w:rsidR="00875679" w:rsidRPr="000644C4">
        <w:rPr>
          <w:rFonts w:ascii="Courier New" w:hAnsi="Courier New" w:cs="Courier New"/>
          <w:sz w:val="32"/>
          <w:szCs w:val="32"/>
          <w:vertAlign w:val="subscript"/>
        </w:rPr>
        <w:t>2</w:t>
      </w:r>
      <w:r w:rsidR="000644C4" w:rsidRPr="000644C4">
        <w:rPr>
          <w:rFonts w:ascii="Courier New" w:hAnsi="Courier New" w:cs="Courier New"/>
          <w:sz w:val="32"/>
          <w:szCs w:val="32"/>
        </w:rPr>
        <w:t>.</w:t>
      </w:r>
    </w:p>
    <w:p w:rsidR="00875679" w:rsidRPr="000644C4" w:rsidRDefault="00875679"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Oxid uhličitý se do atmosféry dostává zejména vulkanickou činností, spalováním dřeva a fosilních paliv, zemědělskou činností člověka, dýcháním organismů nebo uvolňováním z mořské vody.</w:t>
      </w:r>
    </w:p>
    <w:p w:rsidR="00875679" w:rsidRPr="000644C4" w:rsidRDefault="00875679"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Snížit obsah CO</w:t>
      </w:r>
      <w:r w:rsidRPr="000644C4">
        <w:rPr>
          <w:rFonts w:ascii="Courier New" w:hAnsi="Courier New" w:cs="Courier New"/>
          <w:sz w:val="32"/>
          <w:szCs w:val="32"/>
          <w:vertAlign w:val="subscript"/>
        </w:rPr>
        <w:t>2</w:t>
      </w:r>
      <w:r w:rsidRPr="000644C4">
        <w:rPr>
          <w:rFonts w:ascii="Courier New" w:hAnsi="Courier New" w:cs="Courier New"/>
          <w:sz w:val="32"/>
          <w:szCs w:val="32"/>
        </w:rPr>
        <w:t xml:space="preserve"> v atmosféře pomáhají zejména procesy rozpouštění tohoto plynu v mořské vodě, vazba uhlíku do hornin (vápenců) a ukládání do rostlinné hmoty pomocí fotosyntézy.</w:t>
      </w:r>
    </w:p>
    <w:p w:rsidR="008D033F" w:rsidRPr="000644C4" w:rsidRDefault="008D033F"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CO</w:t>
      </w:r>
      <w:r w:rsidRPr="000644C4">
        <w:rPr>
          <w:rFonts w:ascii="Courier New" w:hAnsi="Courier New" w:cs="Courier New"/>
          <w:sz w:val="32"/>
          <w:szCs w:val="32"/>
          <w:vertAlign w:val="subscript"/>
        </w:rPr>
        <w:t>2</w:t>
      </w:r>
      <w:r w:rsidRPr="000644C4">
        <w:rPr>
          <w:rFonts w:ascii="Courier New" w:hAnsi="Courier New" w:cs="Courier New"/>
          <w:sz w:val="32"/>
          <w:szCs w:val="32"/>
        </w:rPr>
        <w:t xml:space="preserve"> </w:t>
      </w:r>
      <w:r w:rsidR="000644C4" w:rsidRPr="000644C4">
        <w:rPr>
          <w:rFonts w:ascii="Courier New" w:hAnsi="Courier New" w:cs="Courier New"/>
          <w:sz w:val="32"/>
          <w:szCs w:val="32"/>
        </w:rPr>
        <w:t>lze ze zplodin odstranit s asi 80 % účinností a tento plyn lze převést do pevného stavu a uložit pod zem, takže nepřispívá v atmosféře ke zvyšování teplot.</w:t>
      </w:r>
    </w:p>
    <w:p w:rsidR="000644C4" w:rsidRPr="000644C4" w:rsidRDefault="000644C4" w:rsidP="000644C4">
      <w:pPr>
        <w:pStyle w:val="Odstavecseseznamem"/>
        <w:numPr>
          <w:ilvl w:val="0"/>
          <w:numId w:val="1"/>
        </w:numPr>
        <w:spacing w:after="120"/>
        <w:ind w:left="425" w:hanging="357"/>
        <w:jc w:val="both"/>
        <w:rPr>
          <w:rFonts w:ascii="Courier New" w:hAnsi="Courier New" w:cs="Courier New"/>
          <w:sz w:val="32"/>
          <w:szCs w:val="32"/>
        </w:rPr>
      </w:pPr>
      <w:r w:rsidRPr="000644C4">
        <w:rPr>
          <w:rFonts w:ascii="Courier New" w:hAnsi="Courier New" w:cs="Courier New"/>
          <w:sz w:val="32"/>
          <w:szCs w:val="32"/>
        </w:rPr>
        <w:t>Náklady na uložení 1 tuny zachyceného uhlíku pod zem jsou 4 500 Kč.</w:t>
      </w:r>
    </w:p>
    <w:p w:rsidR="000644C4" w:rsidRDefault="000644C4" w:rsidP="007C465C">
      <w:pPr>
        <w:rPr>
          <w:rFonts w:ascii="Times New Roman" w:hAnsi="Times New Roman" w:cs="Times New Roman"/>
          <w:sz w:val="24"/>
          <w:szCs w:val="24"/>
        </w:rPr>
      </w:pPr>
    </w:p>
    <w:p w:rsidR="004F2237" w:rsidRPr="000644C4" w:rsidRDefault="004F2237" w:rsidP="004F2237">
      <w:pPr>
        <w:pBdr>
          <w:bottom w:val="single" w:sz="4" w:space="1" w:color="auto"/>
        </w:pBdr>
        <w:jc w:val="center"/>
        <w:rPr>
          <w:rFonts w:ascii="Verdana" w:hAnsi="Verdana"/>
          <w:color w:val="0070C0"/>
          <w:sz w:val="40"/>
          <w:szCs w:val="40"/>
        </w:rPr>
      </w:pPr>
      <w:r w:rsidRPr="000644C4">
        <w:rPr>
          <w:rFonts w:ascii="Verdana" w:hAnsi="Verdana"/>
          <w:color w:val="0070C0"/>
          <w:sz w:val="40"/>
          <w:szCs w:val="40"/>
        </w:rPr>
        <w:lastRenderedPageBreak/>
        <w:t>Víte, že …(</w:t>
      </w:r>
      <w:r>
        <w:rPr>
          <w:rFonts w:ascii="Verdana" w:hAnsi="Verdana"/>
          <w:color w:val="0070C0"/>
          <w:sz w:val="40"/>
          <w:szCs w:val="40"/>
        </w:rPr>
        <w:t>přenosová soustava</w:t>
      </w:r>
      <w:r w:rsidRPr="000644C4">
        <w:rPr>
          <w:rFonts w:ascii="Verdana" w:hAnsi="Verdana"/>
          <w:color w:val="0070C0"/>
          <w:sz w:val="40"/>
          <w:szCs w:val="40"/>
        </w:rPr>
        <w:t>)</w:t>
      </w:r>
    </w:p>
    <w:p w:rsidR="004F2237" w:rsidRPr="00780A02" w:rsidRDefault="004F2237" w:rsidP="00780A02">
      <w:pPr>
        <w:spacing w:after="120"/>
        <w:jc w:val="both"/>
        <w:rPr>
          <w:rFonts w:asciiTheme="majorHAnsi" w:hAnsiTheme="majorHAnsi" w:cstheme="majorHAnsi"/>
          <w:sz w:val="24"/>
          <w:szCs w:val="24"/>
          <w:shd w:val="clear" w:color="auto" w:fill="FFFFFF"/>
        </w:rPr>
      </w:pPr>
      <w:r w:rsidRPr="00780A02">
        <w:rPr>
          <w:rFonts w:asciiTheme="majorHAnsi" w:hAnsiTheme="majorHAnsi" w:cstheme="majorHAnsi"/>
          <w:sz w:val="24"/>
          <w:szCs w:val="24"/>
          <w:shd w:val="clear" w:color="auto" w:fill="FFFFFF"/>
        </w:rPr>
        <w:t xml:space="preserve">Elektrická </w:t>
      </w:r>
      <w:r w:rsidRPr="00780A02">
        <w:rPr>
          <w:rFonts w:asciiTheme="majorHAnsi" w:hAnsiTheme="majorHAnsi" w:cstheme="majorHAnsi"/>
          <w:b/>
          <w:bCs/>
          <w:sz w:val="24"/>
          <w:szCs w:val="24"/>
          <w:shd w:val="clear" w:color="auto" w:fill="FFFFFF"/>
        </w:rPr>
        <w:t xml:space="preserve">přenosová soustava </w:t>
      </w:r>
      <w:r w:rsidRPr="00780A02">
        <w:rPr>
          <w:rFonts w:asciiTheme="majorHAnsi" w:hAnsiTheme="majorHAnsi" w:cstheme="majorHAnsi"/>
          <w:sz w:val="24"/>
          <w:szCs w:val="24"/>
          <w:shd w:val="clear" w:color="auto" w:fill="FFFFFF"/>
        </w:rPr>
        <w:t xml:space="preserve">je systém zařízení, která zajišťují přenos </w:t>
      </w:r>
      <w:hyperlink r:id="rId8" w:tooltip="Elektrická energie" w:history="1">
        <w:r w:rsidRPr="00780A02">
          <w:rPr>
            <w:rStyle w:val="Hypertextovodkaz"/>
            <w:rFonts w:asciiTheme="majorHAnsi" w:hAnsiTheme="majorHAnsi" w:cstheme="majorHAnsi"/>
            <w:color w:val="auto"/>
            <w:sz w:val="24"/>
            <w:szCs w:val="24"/>
            <w:u w:val="none"/>
            <w:shd w:val="clear" w:color="auto" w:fill="FFFFFF"/>
          </w:rPr>
          <w:t>elektrické energie</w:t>
        </w:r>
      </w:hyperlink>
      <w:r w:rsidRPr="00780A02">
        <w:rPr>
          <w:rFonts w:asciiTheme="majorHAnsi" w:hAnsiTheme="majorHAnsi" w:cstheme="majorHAnsi"/>
          <w:sz w:val="24"/>
          <w:szCs w:val="24"/>
          <w:shd w:val="clear" w:color="auto" w:fill="FFFFFF"/>
        </w:rPr>
        <w:t xml:space="preserve"> od velkých zdrojů (</w:t>
      </w:r>
      <w:hyperlink r:id="rId9" w:tooltip="Elektrárna" w:history="1">
        <w:r w:rsidRPr="00780A02">
          <w:rPr>
            <w:rStyle w:val="Hypertextovodkaz"/>
            <w:rFonts w:asciiTheme="majorHAnsi" w:hAnsiTheme="majorHAnsi" w:cstheme="majorHAnsi"/>
            <w:color w:val="auto"/>
            <w:sz w:val="24"/>
            <w:szCs w:val="24"/>
            <w:u w:val="none"/>
            <w:shd w:val="clear" w:color="auto" w:fill="FFFFFF"/>
          </w:rPr>
          <w:t>elektráren</w:t>
        </w:r>
      </w:hyperlink>
      <w:r w:rsidRPr="00780A02">
        <w:rPr>
          <w:rFonts w:asciiTheme="majorHAnsi" w:hAnsiTheme="majorHAnsi" w:cstheme="majorHAnsi"/>
          <w:sz w:val="24"/>
          <w:szCs w:val="24"/>
          <w:shd w:val="clear" w:color="auto" w:fill="FFFFFF"/>
        </w:rPr>
        <w:t xml:space="preserve">) k velkým rozvodnám. Vedení od rozvoden k jednotlivým odběratelům (podniky, domácnosti) zajišťuje </w:t>
      </w:r>
      <w:hyperlink r:id="rId10" w:tooltip="Distribuční soustava" w:history="1">
        <w:r w:rsidRPr="00780A02">
          <w:rPr>
            <w:rStyle w:val="Hypertextovodkaz"/>
            <w:rFonts w:asciiTheme="majorHAnsi" w:hAnsiTheme="majorHAnsi" w:cstheme="majorHAnsi"/>
            <w:b/>
            <w:color w:val="auto"/>
            <w:sz w:val="24"/>
            <w:szCs w:val="24"/>
            <w:u w:val="none"/>
            <w:shd w:val="clear" w:color="auto" w:fill="FFFFFF"/>
          </w:rPr>
          <w:t>distribuční soustav</w:t>
        </w:r>
      </w:hyperlink>
      <w:r w:rsidRPr="00780A02">
        <w:rPr>
          <w:rFonts w:asciiTheme="majorHAnsi" w:hAnsiTheme="majorHAnsi" w:cstheme="majorHAnsi"/>
          <w:b/>
          <w:sz w:val="24"/>
          <w:szCs w:val="24"/>
        </w:rPr>
        <w:t>a</w:t>
      </w:r>
      <w:r w:rsidRPr="00780A02">
        <w:rPr>
          <w:rFonts w:asciiTheme="majorHAnsi" w:hAnsiTheme="majorHAnsi" w:cstheme="majorHAnsi"/>
          <w:sz w:val="24"/>
          <w:szCs w:val="24"/>
          <w:shd w:val="clear" w:color="auto" w:fill="FFFFFF"/>
        </w:rPr>
        <w:t>. Přenosová soustava je vlastně taková páteřní dálniční síť a distribuční soustava pak menší silnice do jednotlivých měst a obcí.</w:t>
      </w:r>
    </w:p>
    <w:p w:rsidR="00E87417" w:rsidRPr="00780A02" w:rsidRDefault="00780A02" w:rsidP="00780A02">
      <w:pPr>
        <w:spacing w:after="120"/>
        <w:jc w:val="both"/>
        <w:rPr>
          <w:rFonts w:asciiTheme="majorHAnsi" w:hAnsiTheme="majorHAnsi" w:cstheme="majorHAnsi"/>
          <w:sz w:val="24"/>
          <w:szCs w:val="24"/>
          <w:shd w:val="clear" w:color="auto" w:fill="FFFFFF"/>
        </w:rPr>
      </w:pPr>
      <w:r w:rsidRPr="00780A02">
        <w:rPr>
          <w:rFonts w:asciiTheme="majorHAnsi" w:hAnsiTheme="majorHAnsi" w:cstheme="majorHAnsi"/>
          <w:noProof/>
          <w:sz w:val="24"/>
          <w:szCs w:val="24"/>
          <w:shd w:val="clear" w:color="auto" w:fill="FFFFFF"/>
          <w:lang w:eastAsia="cs-CZ"/>
        </w:rPr>
        <w:drawing>
          <wp:anchor distT="71755" distB="71755" distL="114300" distR="114300" simplePos="0" relativeHeight="251658240" behindDoc="0" locked="0" layoutInCell="1" allowOverlap="1">
            <wp:simplePos x="0" y="0"/>
            <wp:positionH relativeFrom="column">
              <wp:posOffset>786130</wp:posOffset>
            </wp:positionH>
            <wp:positionV relativeFrom="paragraph">
              <wp:posOffset>868680</wp:posOffset>
            </wp:positionV>
            <wp:extent cx="3942000" cy="2916000"/>
            <wp:effectExtent l="0" t="0" r="1905"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nosova_soustava.png"/>
                    <pic:cNvPicPr/>
                  </pic:nvPicPr>
                  <pic:blipFill>
                    <a:blip r:embed="rId11">
                      <a:extLst>
                        <a:ext uri="{28A0092B-C50C-407E-A947-70E740481C1C}">
                          <a14:useLocalDpi xmlns:a14="http://schemas.microsoft.com/office/drawing/2010/main" val="0"/>
                        </a:ext>
                      </a:extLst>
                    </a:blip>
                    <a:stretch>
                      <a:fillRect/>
                    </a:stretch>
                  </pic:blipFill>
                  <pic:spPr>
                    <a:xfrm>
                      <a:off x="0" y="0"/>
                      <a:ext cx="3942000" cy="2916000"/>
                    </a:xfrm>
                    <a:prstGeom prst="rect">
                      <a:avLst/>
                    </a:prstGeom>
                  </pic:spPr>
                </pic:pic>
              </a:graphicData>
            </a:graphic>
            <wp14:sizeRelH relativeFrom="margin">
              <wp14:pctWidth>0</wp14:pctWidth>
            </wp14:sizeRelH>
            <wp14:sizeRelV relativeFrom="margin">
              <wp14:pctHeight>0</wp14:pctHeight>
            </wp14:sizeRelV>
          </wp:anchor>
        </w:drawing>
      </w:r>
      <w:r w:rsidR="00E87417" w:rsidRPr="00780A02">
        <w:rPr>
          <w:rFonts w:asciiTheme="majorHAnsi" w:hAnsiTheme="majorHAnsi" w:cstheme="majorHAnsi"/>
          <w:sz w:val="24"/>
          <w:szCs w:val="24"/>
          <w:shd w:val="clear" w:color="auto" w:fill="FFFFFF"/>
        </w:rPr>
        <w:t>Elektrický proud vyráběný v elektrárně je potřeba pro účely přenosové soustavy upravit pro přenos na velké vzdálenosti. Je výhodnější použít vyšší napětí, kdy pro přenesení stejného výkonu postačí úměrně menší proud. Omezí se tak ztráty a realizace dálkových vedení je nesrovnatelně jednodušší i levnější.</w:t>
      </w:r>
    </w:p>
    <w:p w:rsidR="00E87417" w:rsidRPr="00780A02" w:rsidRDefault="00E87417" w:rsidP="00780A02">
      <w:pPr>
        <w:spacing w:after="120"/>
        <w:jc w:val="both"/>
        <w:rPr>
          <w:rFonts w:asciiTheme="majorHAnsi" w:hAnsiTheme="majorHAnsi" w:cstheme="majorHAnsi"/>
          <w:sz w:val="24"/>
          <w:szCs w:val="24"/>
          <w:shd w:val="clear" w:color="auto" w:fill="FFFFFF"/>
        </w:rPr>
      </w:pPr>
      <w:r w:rsidRPr="00780A02">
        <w:rPr>
          <w:rFonts w:asciiTheme="majorHAnsi" w:hAnsiTheme="majorHAnsi" w:cstheme="majorHAnsi"/>
          <w:sz w:val="24"/>
          <w:szCs w:val="24"/>
          <w:shd w:val="clear" w:color="auto" w:fill="FFFFFF"/>
        </w:rPr>
        <w:t>Napětí elektrického proudu se zvyšuje na vyšší přenosové napětí pomocí </w:t>
      </w:r>
      <w:hyperlink r:id="rId12" w:tooltip="Transformátor" w:history="1">
        <w:r w:rsidRPr="00780A02">
          <w:rPr>
            <w:rFonts w:asciiTheme="majorHAnsi" w:hAnsiTheme="majorHAnsi" w:cstheme="majorHAnsi"/>
            <w:sz w:val="24"/>
            <w:szCs w:val="24"/>
            <w:shd w:val="clear" w:color="auto" w:fill="FFFFFF"/>
          </w:rPr>
          <w:t>transformátorů</w:t>
        </w:r>
      </w:hyperlink>
      <w:r w:rsidRPr="00780A02">
        <w:rPr>
          <w:rFonts w:asciiTheme="majorHAnsi" w:hAnsiTheme="majorHAnsi" w:cstheme="majorHAnsi"/>
          <w:sz w:val="24"/>
          <w:szCs w:val="24"/>
          <w:shd w:val="clear" w:color="auto" w:fill="FFFFFF"/>
        </w:rPr>
        <w:t>, umístěných zpravidla přímo v areálu elektrárny. Za přenosová napětí se obvykle považují hodnoty nad 110 </w:t>
      </w:r>
      <w:proofErr w:type="spellStart"/>
      <w:r w:rsidRPr="00780A02">
        <w:rPr>
          <w:rFonts w:asciiTheme="majorHAnsi" w:hAnsiTheme="majorHAnsi" w:cstheme="majorHAnsi"/>
          <w:sz w:val="24"/>
          <w:szCs w:val="24"/>
          <w:shd w:val="clear" w:color="auto" w:fill="FFFFFF"/>
        </w:rPr>
        <w:t>kV</w:t>
      </w:r>
      <w:proofErr w:type="spellEnd"/>
      <w:r w:rsidRPr="00780A02">
        <w:rPr>
          <w:rFonts w:asciiTheme="majorHAnsi" w:hAnsiTheme="majorHAnsi" w:cstheme="majorHAnsi"/>
          <w:sz w:val="24"/>
          <w:szCs w:val="24"/>
          <w:shd w:val="clear" w:color="auto" w:fill="FFFFFF"/>
        </w:rPr>
        <w:t>. Na výstupu z přenosové soustavy jsou zařazeny snižující transformátory, dodávající elektřinu do distribuční soustavy o napětí např. 22 </w:t>
      </w:r>
      <w:proofErr w:type="spellStart"/>
      <w:r w:rsidRPr="00780A02">
        <w:rPr>
          <w:rFonts w:asciiTheme="majorHAnsi" w:hAnsiTheme="majorHAnsi" w:cstheme="majorHAnsi"/>
          <w:sz w:val="24"/>
          <w:szCs w:val="24"/>
          <w:shd w:val="clear" w:color="auto" w:fill="FFFFFF"/>
        </w:rPr>
        <w:t>kV</w:t>
      </w:r>
      <w:proofErr w:type="spellEnd"/>
      <w:r w:rsidRPr="00780A02">
        <w:rPr>
          <w:rFonts w:asciiTheme="majorHAnsi" w:hAnsiTheme="majorHAnsi" w:cstheme="majorHAnsi"/>
          <w:sz w:val="24"/>
          <w:szCs w:val="24"/>
          <w:shd w:val="clear" w:color="auto" w:fill="FFFFFF"/>
        </w:rPr>
        <w:t>.</w:t>
      </w:r>
    </w:p>
    <w:p w:rsidR="00E87417" w:rsidRPr="00780A02" w:rsidRDefault="00E87417" w:rsidP="00780A02">
      <w:pPr>
        <w:spacing w:after="120"/>
        <w:jc w:val="both"/>
        <w:rPr>
          <w:rFonts w:asciiTheme="majorHAnsi" w:hAnsiTheme="majorHAnsi" w:cstheme="majorHAnsi"/>
          <w:sz w:val="24"/>
          <w:szCs w:val="24"/>
          <w:shd w:val="clear" w:color="auto" w:fill="FFFFFF"/>
        </w:rPr>
      </w:pPr>
      <w:r w:rsidRPr="00780A02">
        <w:rPr>
          <w:rFonts w:asciiTheme="majorHAnsi" w:hAnsiTheme="majorHAnsi" w:cstheme="majorHAnsi"/>
          <w:sz w:val="24"/>
          <w:szCs w:val="24"/>
          <w:shd w:val="clear" w:color="auto" w:fill="FFFFFF"/>
        </w:rPr>
        <w:t>Elektrická energie je výjimečná tím, že je v celé síti nutné zajistit rovnováhu mezi její okamžitou výrobou a spotřebou. Elektrická energie je totiž obtížně skladovatelná. Takovou dočasnou zásobárnou může být voda v horní nádrži přečerpávací</w:t>
      </w:r>
      <w:r w:rsidR="00BF0FDF">
        <w:rPr>
          <w:rFonts w:asciiTheme="majorHAnsi" w:hAnsiTheme="majorHAnsi" w:cstheme="majorHAnsi"/>
          <w:sz w:val="24"/>
          <w:szCs w:val="24"/>
          <w:shd w:val="clear" w:color="auto" w:fill="FFFFFF"/>
        </w:rPr>
        <w:t xml:space="preserve"> vodní</w:t>
      </w:r>
      <w:r w:rsidRPr="00780A02">
        <w:rPr>
          <w:rFonts w:asciiTheme="majorHAnsi" w:hAnsiTheme="majorHAnsi" w:cstheme="majorHAnsi"/>
          <w:sz w:val="24"/>
          <w:szCs w:val="24"/>
          <w:shd w:val="clear" w:color="auto" w:fill="FFFFFF"/>
        </w:rPr>
        <w:t xml:space="preserve"> elektrárny. Jinými slovy: poklesne-li odběr elektrické energie v distribuční soustavě, musí se úměrně snížit její výroba nebo musí být přebytek někam uložen (odběr obrovských turbín při čerpání vody do horních nádrží PVE).</w:t>
      </w:r>
    </w:p>
    <w:p w:rsidR="00E87417" w:rsidRPr="00780A02" w:rsidRDefault="00F84661" w:rsidP="00780A02">
      <w:pPr>
        <w:spacing w:after="120"/>
        <w:jc w:val="both"/>
        <w:rPr>
          <w:rFonts w:asciiTheme="majorHAnsi" w:hAnsiTheme="majorHAnsi" w:cstheme="majorHAnsi"/>
          <w:sz w:val="24"/>
          <w:szCs w:val="24"/>
          <w:shd w:val="clear" w:color="auto" w:fill="FFFFFF"/>
        </w:rPr>
      </w:pPr>
      <w:r w:rsidRPr="00780A02">
        <w:rPr>
          <w:rFonts w:asciiTheme="majorHAnsi" w:hAnsiTheme="majorHAnsi" w:cstheme="majorHAnsi"/>
          <w:sz w:val="24"/>
          <w:szCs w:val="24"/>
          <w:shd w:val="clear" w:color="auto" w:fill="FFFFFF"/>
        </w:rPr>
        <w:lastRenderedPageBreak/>
        <w:t>V rámci Evropy je přenosová soustava každého státu propojena se státy okolními a tvoří přenosovou soustavu kontinentální Evropy. Přenosovou soustavu České republiky propojuje se zahraničím celkem 17 hraničních vedení – 5 se Slovenskem a po čtyřech vedeních s každým dalším okolním státem.</w:t>
      </w:r>
    </w:p>
    <w:p w:rsidR="007456D1" w:rsidRDefault="007456D1" w:rsidP="00726773">
      <w:pPr>
        <w:pBdr>
          <w:bottom w:val="single" w:sz="4" w:space="1" w:color="auto"/>
        </w:pBdr>
        <w:jc w:val="center"/>
        <w:rPr>
          <w:rFonts w:ascii="Verdana" w:hAnsi="Verdana"/>
          <w:color w:val="0070C0"/>
          <w:sz w:val="40"/>
          <w:szCs w:val="40"/>
        </w:rPr>
      </w:pPr>
    </w:p>
    <w:p w:rsidR="00726773" w:rsidRPr="000644C4" w:rsidRDefault="00726773" w:rsidP="00726773">
      <w:pPr>
        <w:pBdr>
          <w:bottom w:val="single" w:sz="4" w:space="1" w:color="auto"/>
        </w:pBdr>
        <w:jc w:val="center"/>
        <w:rPr>
          <w:rFonts w:ascii="Verdana" w:hAnsi="Verdana"/>
          <w:color w:val="0070C0"/>
          <w:sz w:val="40"/>
          <w:szCs w:val="40"/>
        </w:rPr>
      </w:pPr>
      <w:r w:rsidRPr="000644C4">
        <w:rPr>
          <w:rFonts w:ascii="Verdana" w:hAnsi="Verdana"/>
          <w:color w:val="0070C0"/>
          <w:sz w:val="40"/>
          <w:szCs w:val="40"/>
        </w:rPr>
        <w:t>Víte, že …(</w:t>
      </w:r>
      <w:r>
        <w:rPr>
          <w:rFonts w:ascii="Verdana" w:hAnsi="Verdana"/>
          <w:color w:val="0070C0"/>
          <w:sz w:val="40"/>
          <w:szCs w:val="40"/>
        </w:rPr>
        <w:t>biomasa</w:t>
      </w:r>
      <w:r w:rsidRPr="000644C4">
        <w:rPr>
          <w:rFonts w:ascii="Verdana" w:hAnsi="Verdana"/>
          <w:color w:val="0070C0"/>
          <w:sz w:val="40"/>
          <w:szCs w:val="40"/>
        </w:rPr>
        <w:t>)</w:t>
      </w:r>
    </w:p>
    <w:p w:rsidR="000644C4" w:rsidRDefault="000644C4" w:rsidP="007C465C">
      <w:pPr>
        <w:rPr>
          <w:rFonts w:ascii="Times New Roman" w:hAnsi="Times New Roman" w:cs="Times New Roman"/>
          <w:sz w:val="24"/>
          <w:szCs w:val="24"/>
        </w:rPr>
      </w:pPr>
    </w:p>
    <w:p w:rsidR="00780A02" w:rsidRPr="005B50CC" w:rsidRDefault="00227379" w:rsidP="005B50CC">
      <w:pPr>
        <w:jc w:val="both"/>
        <w:rPr>
          <w:rFonts w:ascii="Times New Roman" w:hAnsi="Times New Roman" w:cs="Times New Roman"/>
          <w:sz w:val="36"/>
          <w:szCs w:val="36"/>
        </w:rPr>
      </w:pPr>
      <w:r w:rsidRPr="005B50CC">
        <w:rPr>
          <w:rFonts w:ascii="Times New Roman" w:hAnsi="Times New Roman" w:cs="Times New Roman"/>
          <w:sz w:val="36"/>
          <w:szCs w:val="36"/>
        </w:rPr>
        <w:t>Spalování biomasy je považováno za „čistý“ zdroj elektrické energie a tepla. Svým způsobem to tak je, protože vzniklý oxid uhličitý vracíme do atmosféry z rostlin, které ho odtud před několika málo měsíci nebo lety odebraly pro svůj růst. Nic ale není tak jednoduché, jak se někdy zdá.</w:t>
      </w:r>
    </w:p>
    <w:p w:rsidR="00227379" w:rsidRPr="005B50CC" w:rsidRDefault="00227379" w:rsidP="005B50CC">
      <w:pPr>
        <w:jc w:val="both"/>
        <w:rPr>
          <w:rFonts w:ascii="Times New Roman" w:hAnsi="Times New Roman" w:cs="Times New Roman"/>
          <w:sz w:val="36"/>
          <w:szCs w:val="36"/>
        </w:rPr>
      </w:pPr>
      <w:r w:rsidRPr="005B50CC">
        <w:rPr>
          <w:rFonts w:ascii="Times New Roman" w:hAnsi="Times New Roman" w:cs="Times New Roman"/>
          <w:sz w:val="36"/>
          <w:szCs w:val="36"/>
        </w:rPr>
        <w:t>Biomasu musíme většinou cíleně pěstovat. Mohou to být různé zbytky po zemědělských plodinách (sláma, stonky kukuřice), může to být dřevo vytěžené v lese nebo lze pěstovat rychle rostoucí dřeviny (topol, vrba, jilm)</w:t>
      </w:r>
      <w:r w:rsidR="00B31FC7" w:rsidRPr="005B50CC">
        <w:rPr>
          <w:rFonts w:ascii="Times New Roman" w:hAnsi="Times New Roman" w:cs="Times New Roman"/>
          <w:sz w:val="36"/>
          <w:szCs w:val="36"/>
        </w:rPr>
        <w:t>. K pěstování potřebujeme vhodnou půdu a samozřejmě to vyžaduje finanční náklady. Získané množství biomasy je různé:</w:t>
      </w:r>
    </w:p>
    <w:p w:rsidR="00B31FC7" w:rsidRPr="005B50CC" w:rsidRDefault="00573E3D" w:rsidP="005B50CC">
      <w:pPr>
        <w:pStyle w:val="Odstavecseseznamem"/>
        <w:numPr>
          <w:ilvl w:val="0"/>
          <w:numId w:val="2"/>
        </w:numPr>
        <w:ind w:left="426"/>
        <w:jc w:val="both"/>
        <w:rPr>
          <w:rFonts w:ascii="Times New Roman" w:hAnsi="Times New Roman" w:cs="Times New Roman"/>
          <w:sz w:val="36"/>
          <w:szCs w:val="36"/>
        </w:rPr>
      </w:pPr>
      <w:r>
        <w:rPr>
          <w:rFonts w:ascii="Times New Roman" w:hAnsi="Times New Roman" w:cs="Times New Roman"/>
          <w:sz w:val="36"/>
          <w:szCs w:val="36"/>
        </w:rPr>
        <w:t>2</w:t>
      </w:r>
      <w:r w:rsidR="00B31FC7" w:rsidRPr="005B50CC">
        <w:rPr>
          <w:rFonts w:ascii="Times New Roman" w:hAnsi="Times New Roman" w:cs="Times New Roman"/>
          <w:sz w:val="36"/>
          <w:szCs w:val="36"/>
        </w:rPr>
        <w:t xml:space="preserve"> </w:t>
      </w:r>
      <w:proofErr w:type="spellStart"/>
      <w:r w:rsidR="00B31FC7" w:rsidRPr="005B50CC">
        <w:rPr>
          <w:rFonts w:ascii="Times New Roman" w:hAnsi="Times New Roman" w:cs="Times New Roman"/>
          <w:sz w:val="36"/>
          <w:szCs w:val="36"/>
        </w:rPr>
        <w:t>TWh</w:t>
      </w:r>
      <w:proofErr w:type="spellEnd"/>
      <w:r w:rsidR="00B31FC7" w:rsidRPr="005B50CC">
        <w:rPr>
          <w:rFonts w:ascii="Times New Roman" w:hAnsi="Times New Roman" w:cs="Times New Roman"/>
          <w:sz w:val="36"/>
          <w:szCs w:val="36"/>
        </w:rPr>
        <w:t xml:space="preserve"> elektrické energie může být získána z </w:t>
      </w:r>
      <w:r>
        <w:rPr>
          <w:rFonts w:ascii="Times New Roman" w:hAnsi="Times New Roman" w:cs="Times New Roman"/>
          <w:sz w:val="36"/>
          <w:szCs w:val="36"/>
        </w:rPr>
        <w:t>1</w:t>
      </w:r>
      <w:r w:rsidR="00B31FC7" w:rsidRPr="005B50CC">
        <w:rPr>
          <w:rFonts w:ascii="Times New Roman" w:hAnsi="Times New Roman" w:cs="Times New Roman"/>
          <w:sz w:val="36"/>
          <w:szCs w:val="36"/>
        </w:rPr>
        <w:t xml:space="preserve"> mil. m</w:t>
      </w:r>
      <w:r w:rsidR="00B31FC7" w:rsidRPr="005B50CC">
        <w:rPr>
          <w:rFonts w:ascii="Times New Roman" w:hAnsi="Times New Roman" w:cs="Times New Roman"/>
          <w:sz w:val="36"/>
          <w:szCs w:val="36"/>
          <w:vertAlign w:val="superscript"/>
        </w:rPr>
        <w:t>3</w:t>
      </w:r>
      <w:r w:rsidR="00B31FC7" w:rsidRPr="005B50CC">
        <w:rPr>
          <w:rFonts w:ascii="Times New Roman" w:hAnsi="Times New Roman" w:cs="Times New Roman"/>
          <w:sz w:val="36"/>
          <w:szCs w:val="36"/>
        </w:rPr>
        <w:t xml:space="preserve"> dřeva, které lze vypěstovat na ploše </w:t>
      </w:r>
      <w:r>
        <w:rPr>
          <w:rFonts w:ascii="Times New Roman" w:hAnsi="Times New Roman" w:cs="Times New Roman"/>
          <w:sz w:val="36"/>
          <w:szCs w:val="36"/>
        </w:rPr>
        <w:t>41</w:t>
      </w:r>
      <w:r w:rsidR="00B31FC7" w:rsidRPr="005B50CC">
        <w:rPr>
          <w:rFonts w:ascii="Times New Roman" w:hAnsi="Times New Roman" w:cs="Times New Roman"/>
          <w:sz w:val="36"/>
          <w:szCs w:val="36"/>
        </w:rPr>
        <w:t xml:space="preserve"> km</w:t>
      </w:r>
      <w:r w:rsidR="00B31FC7" w:rsidRPr="005B50CC">
        <w:rPr>
          <w:rFonts w:ascii="Times New Roman" w:hAnsi="Times New Roman" w:cs="Times New Roman"/>
          <w:sz w:val="36"/>
          <w:szCs w:val="36"/>
          <w:vertAlign w:val="superscript"/>
        </w:rPr>
        <w:t>2</w:t>
      </w:r>
    </w:p>
    <w:p w:rsidR="00B31FC7" w:rsidRPr="005B50CC" w:rsidRDefault="00CE3359" w:rsidP="005B50CC">
      <w:pPr>
        <w:pStyle w:val="Odstavecseseznamem"/>
        <w:numPr>
          <w:ilvl w:val="0"/>
          <w:numId w:val="2"/>
        </w:numPr>
        <w:ind w:left="426"/>
        <w:jc w:val="both"/>
        <w:rPr>
          <w:rFonts w:ascii="Times New Roman" w:hAnsi="Times New Roman" w:cs="Times New Roman"/>
          <w:sz w:val="36"/>
          <w:szCs w:val="36"/>
        </w:rPr>
      </w:pPr>
      <w:r w:rsidRPr="005B50CC">
        <w:rPr>
          <w:rFonts w:ascii="Times New Roman" w:hAnsi="Times New Roman" w:cs="Times New Roman"/>
          <w:sz w:val="36"/>
          <w:szCs w:val="36"/>
        </w:rPr>
        <w:t>při pěstování obilovin získáme z každého hektaru 3,5 t slámy, 1 tuna slámy má výhřevnost 15 GJ.</w:t>
      </w:r>
    </w:p>
    <w:p w:rsidR="00CE3359" w:rsidRPr="005B50CC" w:rsidRDefault="00CE3359" w:rsidP="005B50CC">
      <w:pPr>
        <w:jc w:val="both"/>
        <w:rPr>
          <w:rFonts w:ascii="Times New Roman" w:hAnsi="Times New Roman" w:cs="Times New Roman"/>
          <w:sz w:val="36"/>
          <w:szCs w:val="36"/>
        </w:rPr>
      </w:pPr>
      <w:r w:rsidRPr="005B50CC">
        <w:rPr>
          <w:rFonts w:ascii="Times New Roman" w:hAnsi="Times New Roman" w:cs="Times New Roman"/>
          <w:sz w:val="36"/>
          <w:szCs w:val="36"/>
        </w:rPr>
        <w:t>Kotel na spalování biomasy o výkonu 30 MW spálí denně 1 200 tun biomasy</w:t>
      </w:r>
      <w:r w:rsidR="00F76844" w:rsidRPr="005B50CC">
        <w:rPr>
          <w:rFonts w:ascii="Times New Roman" w:hAnsi="Times New Roman" w:cs="Times New Roman"/>
          <w:sz w:val="36"/>
          <w:szCs w:val="36"/>
        </w:rPr>
        <w:t xml:space="preserve"> a je schopen ročně vyrobit až 215 </w:t>
      </w:r>
      <w:proofErr w:type="spellStart"/>
      <w:r w:rsidR="00F76844" w:rsidRPr="005B50CC">
        <w:rPr>
          <w:rFonts w:ascii="Times New Roman" w:hAnsi="Times New Roman" w:cs="Times New Roman"/>
          <w:sz w:val="36"/>
          <w:szCs w:val="36"/>
        </w:rPr>
        <w:t>GWh</w:t>
      </w:r>
      <w:proofErr w:type="spellEnd"/>
      <w:r w:rsidR="00F76844" w:rsidRPr="005B50CC">
        <w:rPr>
          <w:rFonts w:ascii="Times New Roman" w:hAnsi="Times New Roman" w:cs="Times New Roman"/>
          <w:sz w:val="36"/>
          <w:szCs w:val="36"/>
        </w:rPr>
        <w:t xml:space="preserve"> elektrické energie. To je roční spotřeba asi 50 000 domácností. Výhodou biomasy je možnost nahrazovat jí část paliva v uhelných elektrárnách.</w:t>
      </w:r>
    </w:p>
    <w:p w:rsidR="00F76844" w:rsidRPr="005B50CC" w:rsidRDefault="00F76844" w:rsidP="005B50CC">
      <w:pPr>
        <w:jc w:val="both"/>
        <w:rPr>
          <w:rFonts w:ascii="Times New Roman" w:hAnsi="Times New Roman" w:cs="Times New Roman"/>
          <w:sz w:val="36"/>
          <w:szCs w:val="36"/>
        </w:rPr>
      </w:pPr>
      <w:r w:rsidRPr="005B50CC">
        <w:rPr>
          <w:rFonts w:ascii="Times New Roman" w:hAnsi="Times New Roman" w:cs="Times New Roman"/>
          <w:sz w:val="36"/>
          <w:szCs w:val="36"/>
        </w:rPr>
        <w:lastRenderedPageBreak/>
        <w:t xml:space="preserve">Ceny za spalitelnou biomasu jsou různé. </w:t>
      </w:r>
      <w:r w:rsidR="0095408A" w:rsidRPr="005B50CC">
        <w:rPr>
          <w:rFonts w:ascii="Times New Roman" w:hAnsi="Times New Roman" w:cs="Times New Roman"/>
          <w:sz w:val="36"/>
          <w:szCs w:val="36"/>
        </w:rPr>
        <w:t>Jedna tuna slámy představuje náklady asi 1000 Kč, za tunu štěpky zaplatíme 1 400 Kč a v domácnostech používané pelety stojí kolem 5</w:t>
      </w:r>
      <w:r w:rsidR="005B50CC">
        <w:rPr>
          <w:rFonts w:ascii="Times New Roman" w:hAnsi="Times New Roman" w:cs="Times New Roman"/>
          <w:sz w:val="36"/>
          <w:szCs w:val="36"/>
        </w:rPr>
        <w:t> </w:t>
      </w:r>
      <w:r w:rsidR="0095408A" w:rsidRPr="005B50CC">
        <w:rPr>
          <w:rFonts w:ascii="Times New Roman" w:hAnsi="Times New Roman" w:cs="Times New Roman"/>
          <w:sz w:val="36"/>
          <w:szCs w:val="36"/>
        </w:rPr>
        <w:t>500</w:t>
      </w:r>
      <w:r w:rsidR="005B50CC">
        <w:rPr>
          <w:rFonts w:ascii="Times New Roman" w:hAnsi="Times New Roman" w:cs="Times New Roman"/>
          <w:sz w:val="36"/>
          <w:szCs w:val="36"/>
        </w:rPr>
        <w:t> </w:t>
      </w:r>
      <w:r w:rsidR="0095408A" w:rsidRPr="005B50CC">
        <w:rPr>
          <w:rFonts w:ascii="Times New Roman" w:hAnsi="Times New Roman" w:cs="Times New Roman"/>
          <w:sz w:val="36"/>
          <w:szCs w:val="36"/>
        </w:rPr>
        <w:t>Kč za tunu. Palivové dříví vyjde na cenu 2 100 Kč za jednu tunu.</w:t>
      </w:r>
    </w:p>
    <w:p w:rsidR="00227379" w:rsidRDefault="00227379" w:rsidP="007C465C">
      <w:pPr>
        <w:rPr>
          <w:rFonts w:ascii="Times New Roman" w:hAnsi="Times New Roman" w:cs="Times New Roman"/>
          <w:sz w:val="24"/>
          <w:szCs w:val="24"/>
        </w:rPr>
      </w:pPr>
    </w:p>
    <w:p w:rsidR="00D41654" w:rsidRDefault="00D41654" w:rsidP="007C465C">
      <w:pPr>
        <w:rPr>
          <w:rFonts w:ascii="Times New Roman" w:hAnsi="Times New Roman" w:cs="Times New Roman"/>
          <w:sz w:val="24"/>
          <w:szCs w:val="24"/>
        </w:rPr>
      </w:pPr>
    </w:p>
    <w:p w:rsidR="00D41654" w:rsidRPr="000644C4" w:rsidRDefault="00D41654" w:rsidP="00D41654">
      <w:pPr>
        <w:pBdr>
          <w:bottom w:val="single" w:sz="4" w:space="1" w:color="auto"/>
        </w:pBdr>
        <w:jc w:val="center"/>
        <w:rPr>
          <w:rFonts w:ascii="Verdana" w:hAnsi="Verdana"/>
          <w:color w:val="0070C0"/>
          <w:sz w:val="40"/>
          <w:szCs w:val="40"/>
        </w:rPr>
      </w:pPr>
      <w:r w:rsidRPr="000644C4">
        <w:rPr>
          <w:rFonts w:ascii="Verdana" w:hAnsi="Verdana"/>
          <w:color w:val="0070C0"/>
          <w:sz w:val="40"/>
          <w:szCs w:val="40"/>
        </w:rPr>
        <w:t>Víte, že …(</w:t>
      </w:r>
      <w:r w:rsidR="00C8322F">
        <w:rPr>
          <w:rFonts w:ascii="Verdana" w:hAnsi="Verdana"/>
          <w:color w:val="0070C0"/>
          <w:sz w:val="40"/>
          <w:szCs w:val="40"/>
        </w:rPr>
        <w:t>emisní povolenky</w:t>
      </w:r>
      <w:r w:rsidRPr="000644C4">
        <w:rPr>
          <w:rFonts w:ascii="Verdana" w:hAnsi="Verdana"/>
          <w:color w:val="0070C0"/>
          <w:sz w:val="40"/>
          <w:szCs w:val="40"/>
        </w:rPr>
        <w:t>)</w:t>
      </w:r>
    </w:p>
    <w:p w:rsidR="00D41654" w:rsidRDefault="00D41654" w:rsidP="007C465C">
      <w:pPr>
        <w:rPr>
          <w:rFonts w:ascii="Times New Roman" w:hAnsi="Times New Roman" w:cs="Times New Roman"/>
          <w:sz w:val="24"/>
          <w:szCs w:val="24"/>
        </w:rPr>
      </w:pPr>
    </w:p>
    <w:p w:rsidR="00D41654" w:rsidRPr="00603E3F" w:rsidRDefault="00FF6251" w:rsidP="00603E3F">
      <w:pPr>
        <w:spacing w:after="240"/>
        <w:jc w:val="both"/>
        <w:rPr>
          <w:rFonts w:asciiTheme="majorHAnsi" w:hAnsiTheme="majorHAnsi" w:cstheme="majorHAnsi"/>
          <w:sz w:val="32"/>
          <w:szCs w:val="32"/>
        </w:rPr>
      </w:pPr>
      <w:r w:rsidRPr="00603E3F">
        <w:rPr>
          <w:rFonts w:asciiTheme="majorHAnsi" w:hAnsiTheme="majorHAnsi" w:cstheme="majorHAnsi"/>
          <w:sz w:val="32"/>
          <w:szCs w:val="32"/>
        </w:rPr>
        <w:t xml:space="preserve">Od roku 2005, kdy vstoupil v platnost Kjótský protokol, používá Evropská unie systém tzv. </w:t>
      </w:r>
      <w:r w:rsidRPr="00603E3F">
        <w:rPr>
          <w:rFonts w:asciiTheme="majorHAnsi" w:hAnsiTheme="majorHAnsi" w:cstheme="majorHAnsi"/>
          <w:b/>
          <w:sz w:val="32"/>
          <w:szCs w:val="32"/>
        </w:rPr>
        <w:t>emisních povolenek</w:t>
      </w:r>
      <w:r w:rsidR="00916FC9">
        <w:rPr>
          <w:rFonts w:asciiTheme="majorHAnsi" w:hAnsiTheme="majorHAnsi" w:cstheme="majorHAnsi"/>
          <w:sz w:val="32"/>
          <w:szCs w:val="32"/>
        </w:rPr>
        <w:t>. Jde o nástroje určené</w:t>
      </w:r>
      <w:r w:rsidRPr="00603E3F">
        <w:rPr>
          <w:rFonts w:asciiTheme="majorHAnsi" w:hAnsiTheme="majorHAnsi" w:cstheme="majorHAnsi"/>
          <w:sz w:val="32"/>
          <w:szCs w:val="32"/>
        </w:rPr>
        <w:t xml:space="preserve"> pro splnění závazku ke snížení emisí skleníkových plynů v rámci EU. Emisní povolenky stanovují celkový objem skleníkových plynů, který mohou vyprodukovat jednotlivé členské státy EU. Jednotlivé státy je pak dělí mezi jednotlivé producenty skleníkových plynů</w:t>
      </w:r>
      <w:r w:rsidR="00820D29">
        <w:rPr>
          <w:rFonts w:asciiTheme="majorHAnsi" w:hAnsiTheme="majorHAnsi" w:cstheme="majorHAnsi"/>
          <w:sz w:val="32"/>
          <w:szCs w:val="32"/>
        </w:rPr>
        <w:t xml:space="preserve"> (průmysl, zemědělství, energetika, doprava)</w:t>
      </w:r>
      <w:r w:rsidRPr="00603E3F">
        <w:rPr>
          <w:rFonts w:asciiTheme="majorHAnsi" w:hAnsiTheme="majorHAnsi" w:cstheme="majorHAnsi"/>
          <w:sz w:val="32"/>
          <w:szCs w:val="32"/>
        </w:rPr>
        <w:t>. S povolenkami lze obchodovat na evropských energetických burzách.</w:t>
      </w:r>
    </w:p>
    <w:p w:rsidR="00FF6251" w:rsidRPr="00603E3F" w:rsidRDefault="00C8322F" w:rsidP="00603E3F">
      <w:pPr>
        <w:spacing w:after="240"/>
        <w:jc w:val="both"/>
        <w:rPr>
          <w:rFonts w:asciiTheme="majorHAnsi" w:hAnsiTheme="majorHAnsi" w:cstheme="majorHAnsi"/>
          <w:sz w:val="32"/>
          <w:szCs w:val="32"/>
        </w:rPr>
      </w:pPr>
      <w:r w:rsidRPr="00603E3F">
        <w:rPr>
          <w:rFonts w:asciiTheme="majorHAnsi" w:hAnsiTheme="majorHAnsi" w:cstheme="majorHAnsi"/>
          <w:sz w:val="32"/>
          <w:szCs w:val="32"/>
        </w:rPr>
        <w:t>EU se v loňském roce dohodla na reformě systému, která má vyřešit problémy s nadbytkem povolenek na trhu. Ten v minulosti vedl k</w:t>
      </w:r>
      <w:r w:rsidR="00820D29">
        <w:rPr>
          <w:rFonts w:asciiTheme="majorHAnsi" w:hAnsiTheme="majorHAnsi" w:cstheme="majorHAnsi"/>
          <w:sz w:val="32"/>
          <w:szCs w:val="32"/>
        </w:rPr>
        <w:t> </w:t>
      </w:r>
      <w:r w:rsidRPr="00603E3F">
        <w:rPr>
          <w:rFonts w:asciiTheme="majorHAnsi" w:hAnsiTheme="majorHAnsi" w:cstheme="majorHAnsi"/>
          <w:sz w:val="32"/>
          <w:szCs w:val="32"/>
        </w:rPr>
        <w:t xml:space="preserve">poklesu cen povolenek na zhruba </w:t>
      </w:r>
      <w:r w:rsidR="00FF6251" w:rsidRPr="00603E3F">
        <w:rPr>
          <w:rFonts w:asciiTheme="majorHAnsi" w:hAnsiTheme="majorHAnsi" w:cstheme="majorHAnsi"/>
          <w:sz w:val="32"/>
          <w:szCs w:val="32"/>
        </w:rPr>
        <w:t>60 Kč</w:t>
      </w:r>
      <w:r w:rsidRPr="00603E3F">
        <w:rPr>
          <w:rFonts w:asciiTheme="majorHAnsi" w:hAnsiTheme="majorHAnsi" w:cstheme="majorHAnsi"/>
          <w:sz w:val="32"/>
          <w:szCs w:val="32"/>
        </w:rPr>
        <w:t xml:space="preserve"> za tunu, což zmírňovalo tlak na omezování emisí. Během </w:t>
      </w:r>
      <w:r w:rsidR="00FF6251" w:rsidRPr="00603E3F">
        <w:rPr>
          <w:rFonts w:asciiTheme="majorHAnsi" w:hAnsiTheme="majorHAnsi" w:cstheme="majorHAnsi"/>
          <w:sz w:val="32"/>
          <w:szCs w:val="32"/>
        </w:rPr>
        <w:t>dalšího</w:t>
      </w:r>
      <w:r w:rsidRPr="00603E3F">
        <w:rPr>
          <w:rFonts w:asciiTheme="majorHAnsi" w:hAnsiTheme="majorHAnsi" w:cstheme="majorHAnsi"/>
          <w:sz w:val="32"/>
          <w:szCs w:val="32"/>
        </w:rPr>
        <w:t xml:space="preserve"> obchodování se cena emisních povolenek dostala až na </w:t>
      </w:r>
      <w:r w:rsidR="00FF6251" w:rsidRPr="00603E3F">
        <w:rPr>
          <w:rFonts w:asciiTheme="majorHAnsi" w:hAnsiTheme="majorHAnsi" w:cstheme="majorHAnsi"/>
          <w:sz w:val="32"/>
          <w:szCs w:val="32"/>
        </w:rPr>
        <w:t>současných 470 Kč za tunu vypuštěného CO</w:t>
      </w:r>
      <w:r w:rsidR="00FF6251" w:rsidRPr="00603E3F">
        <w:rPr>
          <w:rFonts w:asciiTheme="majorHAnsi" w:hAnsiTheme="majorHAnsi" w:cstheme="majorHAnsi"/>
          <w:sz w:val="32"/>
          <w:szCs w:val="32"/>
          <w:vertAlign w:val="subscript"/>
        </w:rPr>
        <w:t>2</w:t>
      </w:r>
      <w:r w:rsidR="00FF6251" w:rsidRPr="00603E3F">
        <w:rPr>
          <w:rFonts w:asciiTheme="majorHAnsi" w:hAnsiTheme="majorHAnsi" w:cstheme="majorHAnsi"/>
          <w:sz w:val="32"/>
          <w:szCs w:val="32"/>
        </w:rPr>
        <w:t>.</w:t>
      </w:r>
    </w:p>
    <w:p w:rsidR="00FF6251" w:rsidRPr="00603E3F" w:rsidRDefault="00C8322F" w:rsidP="00603E3F">
      <w:pPr>
        <w:spacing w:after="240"/>
        <w:jc w:val="both"/>
        <w:rPr>
          <w:rFonts w:asciiTheme="majorHAnsi" w:hAnsiTheme="majorHAnsi" w:cstheme="majorHAnsi"/>
          <w:sz w:val="32"/>
          <w:szCs w:val="32"/>
        </w:rPr>
      </w:pPr>
      <w:r w:rsidRPr="00603E3F">
        <w:rPr>
          <w:rFonts w:asciiTheme="majorHAnsi" w:hAnsiTheme="majorHAnsi" w:cstheme="majorHAnsi"/>
          <w:sz w:val="32"/>
          <w:szCs w:val="32"/>
        </w:rPr>
        <w:t xml:space="preserve">Analytici z investiční banky </w:t>
      </w:r>
      <w:proofErr w:type="spellStart"/>
      <w:r w:rsidRPr="00603E3F">
        <w:rPr>
          <w:rFonts w:asciiTheme="majorHAnsi" w:hAnsiTheme="majorHAnsi" w:cstheme="majorHAnsi"/>
          <w:sz w:val="32"/>
          <w:szCs w:val="32"/>
        </w:rPr>
        <w:t>Berenberg</w:t>
      </w:r>
      <w:proofErr w:type="spellEnd"/>
      <w:r w:rsidRPr="00603E3F">
        <w:rPr>
          <w:rFonts w:asciiTheme="majorHAnsi" w:hAnsiTheme="majorHAnsi" w:cstheme="majorHAnsi"/>
          <w:sz w:val="32"/>
          <w:szCs w:val="32"/>
        </w:rPr>
        <w:t xml:space="preserve"> předpovídají, že cena povolenek vystoupí v roce 2020 na </w:t>
      </w:r>
      <w:r w:rsidR="00FF6251" w:rsidRPr="00603E3F">
        <w:rPr>
          <w:rFonts w:asciiTheme="majorHAnsi" w:hAnsiTheme="majorHAnsi" w:cstheme="majorHAnsi"/>
          <w:sz w:val="32"/>
          <w:szCs w:val="32"/>
        </w:rPr>
        <w:t>780 Kč</w:t>
      </w:r>
      <w:r w:rsidRPr="00603E3F">
        <w:rPr>
          <w:rFonts w:asciiTheme="majorHAnsi" w:hAnsiTheme="majorHAnsi" w:cstheme="majorHAnsi"/>
          <w:sz w:val="32"/>
          <w:szCs w:val="32"/>
        </w:rPr>
        <w:t xml:space="preserve"> za tunu.</w:t>
      </w:r>
    </w:p>
    <w:p w:rsidR="00603E3F" w:rsidRPr="00603E3F" w:rsidRDefault="00603E3F" w:rsidP="00603E3F">
      <w:pPr>
        <w:spacing w:after="240"/>
        <w:jc w:val="both"/>
        <w:rPr>
          <w:rFonts w:asciiTheme="majorHAnsi" w:hAnsiTheme="majorHAnsi" w:cstheme="majorHAnsi"/>
          <w:sz w:val="32"/>
          <w:szCs w:val="32"/>
        </w:rPr>
      </w:pPr>
      <w:r w:rsidRPr="00603E3F">
        <w:rPr>
          <w:rFonts w:asciiTheme="majorHAnsi" w:hAnsiTheme="majorHAnsi" w:cstheme="majorHAnsi"/>
          <w:sz w:val="32"/>
          <w:szCs w:val="32"/>
        </w:rPr>
        <w:t>V praxi to znamená, že pokud má uhelná elektrárna o výkonu 980 MW povoleno roč</w:t>
      </w:r>
      <w:r w:rsidR="00916FC9">
        <w:rPr>
          <w:rFonts w:asciiTheme="majorHAnsi" w:hAnsiTheme="majorHAnsi" w:cstheme="majorHAnsi"/>
          <w:sz w:val="32"/>
          <w:szCs w:val="32"/>
        </w:rPr>
        <w:t>ně vypustit do atmosféry 2 milio</w:t>
      </w:r>
      <w:r w:rsidRPr="00603E3F">
        <w:rPr>
          <w:rFonts w:asciiTheme="majorHAnsi" w:hAnsiTheme="majorHAnsi" w:cstheme="majorHAnsi"/>
          <w:sz w:val="32"/>
          <w:szCs w:val="32"/>
        </w:rPr>
        <w:t>ny tun CO</w:t>
      </w:r>
      <w:r w:rsidRPr="00603E3F">
        <w:rPr>
          <w:rFonts w:asciiTheme="majorHAnsi" w:hAnsiTheme="majorHAnsi" w:cstheme="majorHAnsi"/>
          <w:sz w:val="32"/>
          <w:szCs w:val="32"/>
          <w:vertAlign w:val="subscript"/>
        </w:rPr>
        <w:t>2</w:t>
      </w:r>
      <w:r w:rsidR="00916FC9">
        <w:rPr>
          <w:rFonts w:asciiTheme="majorHAnsi" w:hAnsiTheme="majorHAnsi" w:cstheme="majorHAnsi"/>
          <w:sz w:val="32"/>
          <w:szCs w:val="32"/>
        </w:rPr>
        <w:t xml:space="preserve"> a </w:t>
      </w:r>
      <w:r w:rsidR="00916FC9">
        <w:rPr>
          <w:rFonts w:asciiTheme="majorHAnsi" w:hAnsiTheme="majorHAnsi" w:cstheme="majorHAnsi"/>
          <w:sz w:val="32"/>
          <w:szCs w:val="32"/>
        </w:rPr>
        <w:lastRenderedPageBreak/>
        <w:t>vyprodukuje celkem 2,5 milio</w:t>
      </w:r>
      <w:r w:rsidRPr="00603E3F">
        <w:rPr>
          <w:rFonts w:asciiTheme="majorHAnsi" w:hAnsiTheme="majorHAnsi" w:cstheme="majorHAnsi"/>
          <w:sz w:val="32"/>
          <w:szCs w:val="32"/>
        </w:rPr>
        <w:t>nu tun oxidu uhličitého, m</w:t>
      </w:r>
      <w:r w:rsidR="00916FC9">
        <w:rPr>
          <w:rFonts w:asciiTheme="majorHAnsi" w:hAnsiTheme="majorHAnsi" w:cstheme="majorHAnsi"/>
          <w:sz w:val="32"/>
          <w:szCs w:val="32"/>
        </w:rPr>
        <w:t>usí si na přebytečných 0,5 milio</w:t>
      </w:r>
      <w:r w:rsidRPr="00603E3F">
        <w:rPr>
          <w:rFonts w:asciiTheme="majorHAnsi" w:hAnsiTheme="majorHAnsi" w:cstheme="majorHAnsi"/>
          <w:sz w:val="32"/>
          <w:szCs w:val="32"/>
        </w:rPr>
        <w:t>nů tun zakoupit emisní povolenky v hodnotě 235</w:t>
      </w:r>
      <w:r w:rsidR="00916FC9">
        <w:rPr>
          <w:rFonts w:asciiTheme="majorHAnsi" w:hAnsiTheme="majorHAnsi" w:cstheme="majorHAnsi"/>
          <w:sz w:val="32"/>
          <w:szCs w:val="32"/>
        </w:rPr>
        <w:t> milio</w:t>
      </w:r>
      <w:r w:rsidRPr="00603E3F">
        <w:rPr>
          <w:rFonts w:asciiTheme="majorHAnsi" w:hAnsiTheme="majorHAnsi" w:cstheme="majorHAnsi"/>
          <w:sz w:val="32"/>
          <w:szCs w:val="32"/>
        </w:rPr>
        <w:t>nů Kč.</w:t>
      </w:r>
    </w:p>
    <w:p w:rsidR="00193DEE" w:rsidRDefault="00193DEE" w:rsidP="007C465C">
      <w:pPr>
        <w:rPr>
          <w:rFonts w:ascii="Times New Roman" w:hAnsi="Times New Roman" w:cs="Times New Roman"/>
          <w:sz w:val="24"/>
          <w:szCs w:val="24"/>
        </w:rPr>
      </w:pPr>
      <w:bookmarkStart w:id="0" w:name="_GoBack"/>
      <w:bookmarkEnd w:id="0"/>
    </w:p>
    <w:p w:rsidR="00193DEE" w:rsidRDefault="00193DEE" w:rsidP="007C465C">
      <w:pPr>
        <w:rPr>
          <w:rFonts w:ascii="Times New Roman" w:hAnsi="Times New Roman" w:cs="Times New Roman"/>
          <w:sz w:val="24"/>
          <w:szCs w:val="24"/>
        </w:rPr>
      </w:pPr>
    </w:p>
    <w:p w:rsidR="00193DEE" w:rsidRPr="000644C4" w:rsidRDefault="00193DEE" w:rsidP="00193DEE">
      <w:pPr>
        <w:pBdr>
          <w:bottom w:val="single" w:sz="4" w:space="1" w:color="auto"/>
        </w:pBdr>
        <w:jc w:val="center"/>
        <w:rPr>
          <w:rFonts w:ascii="Verdana" w:hAnsi="Verdana"/>
          <w:color w:val="0070C0"/>
          <w:sz w:val="40"/>
          <w:szCs w:val="40"/>
        </w:rPr>
      </w:pPr>
      <w:r w:rsidRPr="000644C4">
        <w:rPr>
          <w:rFonts w:ascii="Verdana" w:hAnsi="Verdana"/>
          <w:color w:val="0070C0"/>
          <w:sz w:val="40"/>
          <w:szCs w:val="40"/>
        </w:rPr>
        <w:t>Víte, že …(</w:t>
      </w:r>
      <w:r>
        <w:rPr>
          <w:rFonts w:ascii="Verdana" w:hAnsi="Verdana"/>
          <w:color w:val="0070C0"/>
          <w:sz w:val="40"/>
          <w:szCs w:val="40"/>
        </w:rPr>
        <w:t>ukládání elektrické energie</w:t>
      </w:r>
      <w:r w:rsidRPr="000644C4">
        <w:rPr>
          <w:rFonts w:ascii="Verdana" w:hAnsi="Verdana"/>
          <w:color w:val="0070C0"/>
          <w:sz w:val="40"/>
          <w:szCs w:val="40"/>
        </w:rPr>
        <w:t>)</w:t>
      </w:r>
    </w:p>
    <w:p w:rsidR="00193DEE" w:rsidRDefault="00193DEE" w:rsidP="007C465C">
      <w:pPr>
        <w:rPr>
          <w:rFonts w:ascii="Times New Roman" w:hAnsi="Times New Roman" w:cs="Times New Roman"/>
          <w:sz w:val="24"/>
          <w:szCs w:val="24"/>
        </w:rPr>
      </w:pPr>
    </w:p>
    <w:p w:rsidR="00193DEE" w:rsidRPr="00410EFE" w:rsidRDefault="00193DEE" w:rsidP="00410EFE">
      <w:pPr>
        <w:spacing w:line="288" w:lineRule="auto"/>
        <w:jc w:val="both"/>
        <w:rPr>
          <w:rFonts w:ascii="Verdana" w:hAnsi="Verdana" w:cs="Times New Roman"/>
          <w:sz w:val="28"/>
          <w:szCs w:val="28"/>
        </w:rPr>
      </w:pPr>
      <w:r w:rsidRPr="00410EFE">
        <w:rPr>
          <w:rFonts w:ascii="Verdana" w:hAnsi="Verdana" w:cs="Times New Roman"/>
          <w:sz w:val="28"/>
          <w:szCs w:val="28"/>
        </w:rPr>
        <w:t>Kdybychom uměli efektivně ukládat jakékoliv množství elektrické energie k jejímu pozdějšímu využití, byla by výroba „zelené“ energie mnohem snazší a dokázali bychom velmi účinně snížit produkci skleníkových plynů do atmosféry.</w:t>
      </w:r>
    </w:p>
    <w:p w:rsidR="00193DEE" w:rsidRPr="00410EFE" w:rsidRDefault="00193DEE" w:rsidP="00410EFE">
      <w:pPr>
        <w:spacing w:line="288" w:lineRule="auto"/>
        <w:jc w:val="both"/>
        <w:rPr>
          <w:rFonts w:ascii="Verdana" w:hAnsi="Verdana" w:cs="Times New Roman"/>
          <w:sz w:val="28"/>
          <w:szCs w:val="28"/>
        </w:rPr>
      </w:pPr>
      <w:r w:rsidRPr="00410EFE">
        <w:rPr>
          <w:rFonts w:ascii="Verdana" w:hAnsi="Verdana" w:cs="Times New Roman"/>
          <w:sz w:val="28"/>
          <w:szCs w:val="28"/>
        </w:rPr>
        <w:t>Bohužel to zatím dokážeme jen v malém měřítku a se značnými ztrátami. Technologií je několik, většina je ve fázi vývoje a testování:</w:t>
      </w:r>
    </w:p>
    <w:p w:rsidR="00193DEE" w:rsidRPr="00410EFE" w:rsidRDefault="001842B3" w:rsidP="00410EFE">
      <w:pPr>
        <w:pStyle w:val="Odstavecseseznamem"/>
        <w:numPr>
          <w:ilvl w:val="0"/>
          <w:numId w:val="4"/>
        </w:numPr>
        <w:spacing w:line="288" w:lineRule="auto"/>
        <w:ind w:left="284"/>
        <w:jc w:val="both"/>
        <w:rPr>
          <w:rFonts w:ascii="Verdana" w:hAnsi="Verdana" w:cs="Times New Roman"/>
          <w:sz w:val="28"/>
          <w:szCs w:val="28"/>
        </w:rPr>
      </w:pPr>
      <w:r w:rsidRPr="00410EFE">
        <w:rPr>
          <w:rFonts w:ascii="Verdana" w:hAnsi="Verdana" w:cs="Times New Roman"/>
          <w:sz w:val="28"/>
          <w:szCs w:val="28"/>
        </w:rPr>
        <w:t>S</w:t>
      </w:r>
      <w:r w:rsidR="00193DEE" w:rsidRPr="00410EFE">
        <w:rPr>
          <w:rFonts w:ascii="Verdana" w:hAnsi="Verdana" w:cs="Times New Roman"/>
          <w:sz w:val="28"/>
          <w:szCs w:val="28"/>
        </w:rPr>
        <w:t xml:space="preserve">ytém </w:t>
      </w:r>
      <w:proofErr w:type="spellStart"/>
      <w:r w:rsidR="00193DEE" w:rsidRPr="00410EFE">
        <w:rPr>
          <w:rFonts w:ascii="Verdana" w:hAnsi="Verdana" w:cs="Times New Roman"/>
          <w:sz w:val="28"/>
          <w:szCs w:val="28"/>
        </w:rPr>
        <w:t>Power</w:t>
      </w:r>
      <w:proofErr w:type="spellEnd"/>
      <w:r w:rsidR="00193DEE" w:rsidRPr="00410EFE">
        <w:rPr>
          <w:rFonts w:ascii="Verdana" w:hAnsi="Verdana" w:cs="Times New Roman"/>
          <w:sz w:val="28"/>
          <w:szCs w:val="28"/>
        </w:rPr>
        <w:t>-to-</w:t>
      </w:r>
      <w:proofErr w:type="spellStart"/>
      <w:r w:rsidR="00193DEE" w:rsidRPr="00410EFE">
        <w:rPr>
          <w:rFonts w:ascii="Verdana" w:hAnsi="Verdana" w:cs="Times New Roman"/>
          <w:sz w:val="28"/>
          <w:szCs w:val="28"/>
        </w:rPr>
        <w:t>Gas</w:t>
      </w:r>
      <w:proofErr w:type="spellEnd"/>
      <w:r w:rsidR="00193DEE" w:rsidRPr="00410EFE">
        <w:rPr>
          <w:rFonts w:ascii="Verdana" w:hAnsi="Verdana" w:cs="Times New Roman"/>
          <w:sz w:val="28"/>
          <w:szCs w:val="28"/>
        </w:rPr>
        <w:t>“ spojuje rozvodnou elektrickou síť s</w:t>
      </w:r>
      <w:r w:rsidR="00596E23">
        <w:rPr>
          <w:rFonts w:ascii="Verdana" w:hAnsi="Verdana" w:cs="Times New Roman"/>
          <w:sz w:val="28"/>
          <w:szCs w:val="28"/>
        </w:rPr>
        <w:t> </w:t>
      </w:r>
      <w:r w:rsidR="00193DEE" w:rsidRPr="00410EFE">
        <w:rPr>
          <w:rFonts w:ascii="Verdana" w:hAnsi="Verdana" w:cs="Times New Roman"/>
          <w:sz w:val="28"/>
          <w:szCs w:val="28"/>
        </w:rPr>
        <w:t>plynovodní sítí tak, že přeměňuje nadbytečnou elektrickou energii na chemickou pomocí produkce vodíku z elektrolýzy vody a ve druhé fázi dochází k přeměně vodíku jeho reakcí s</w:t>
      </w:r>
      <w:r w:rsidR="00596E23">
        <w:rPr>
          <w:rFonts w:ascii="Verdana" w:hAnsi="Verdana" w:cs="Times New Roman"/>
          <w:sz w:val="28"/>
          <w:szCs w:val="28"/>
        </w:rPr>
        <w:t> </w:t>
      </w:r>
      <w:r w:rsidR="00193DEE" w:rsidRPr="00410EFE">
        <w:rPr>
          <w:rFonts w:ascii="Verdana" w:hAnsi="Verdana" w:cs="Times New Roman"/>
          <w:sz w:val="28"/>
          <w:szCs w:val="28"/>
        </w:rPr>
        <w:t xml:space="preserve">oxidem uhličitým na </w:t>
      </w:r>
      <w:r w:rsidR="00596E23" w:rsidRPr="00410EFE">
        <w:rPr>
          <w:rFonts w:ascii="Verdana" w:hAnsi="Verdana" w:cs="Times New Roman"/>
          <w:sz w:val="28"/>
          <w:szCs w:val="28"/>
        </w:rPr>
        <w:t>metan</w:t>
      </w:r>
      <w:r w:rsidR="00193DEE" w:rsidRPr="00410EFE">
        <w:rPr>
          <w:rFonts w:ascii="Verdana" w:hAnsi="Verdana" w:cs="Times New Roman"/>
          <w:sz w:val="28"/>
          <w:szCs w:val="28"/>
        </w:rPr>
        <w:t>.</w:t>
      </w:r>
    </w:p>
    <w:p w:rsidR="001842B3" w:rsidRPr="00410EFE" w:rsidRDefault="00193DEE" w:rsidP="00410EFE">
      <w:pPr>
        <w:pStyle w:val="Odstavecseseznamem"/>
        <w:numPr>
          <w:ilvl w:val="0"/>
          <w:numId w:val="4"/>
        </w:numPr>
        <w:spacing w:line="288" w:lineRule="auto"/>
        <w:ind w:left="284"/>
        <w:jc w:val="both"/>
        <w:rPr>
          <w:rFonts w:ascii="Verdana" w:hAnsi="Verdana" w:cs="Times New Roman"/>
          <w:sz w:val="28"/>
          <w:szCs w:val="28"/>
        </w:rPr>
      </w:pPr>
      <w:r w:rsidRPr="00410EFE">
        <w:rPr>
          <w:rFonts w:ascii="Verdana" w:hAnsi="Verdana" w:cs="Times New Roman"/>
          <w:sz w:val="28"/>
          <w:szCs w:val="28"/>
        </w:rPr>
        <w:t>Akumulace energie do stlačeného vzduchu, kdy je vzduch vtláčen kompresorem do zásobníku. Zpět</w:t>
      </w:r>
      <w:r w:rsidR="00916FC9">
        <w:rPr>
          <w:rFonts w:ascii="Verdana" w:hAnsi="Verdana" w:cs="Times New Roman"/>
          <w:sz w:val="28"/>
          <w:szCs w:val="28"/>
        </w:rPr>
        <w:t xml:space="preserve"> je elektrická energie získávána</w:t>
      </w:r>
      <w:r w:rsidRPr="00410EFE">
        <w:rPr>
          <w:rFonts w:ascii="Verdana" w:hAnsi="Verdana" w:cs="Times New Roman"/>
          <w:sz w:val="28"/>
          <w:szCs w:val="28"/>
        </w:rPr>
        <w:t xml:space="preserve"> expanzí vzduchu na turbíně. Zásobníkem zde mohou být přírodní</w:t>
      </w:r>
      <w:r w:rsidR="00596E23">
        <w:rPr>
          <w:rFonts w:ascii="Verdana" w:hAnsi="Verdana" w:cs="Times New Roman"/>
          <w:sz w:val="28"/>
          <w:szCs w:val="28"/>
        </w:rPr>
        <w:t xml:space="preserve"> jeskyně, nebo uměle vytvořené k</w:t>
      </w:r>
      <w:r w:rsidRPr="00410EFE">
        <w:rPr>
          <w:rFonts w:ascii="Verdana" w:hAnsi="Verdana" w:cs="Times New Roman"/>
          <w:sz w:val="28"/>
          <w:szCs w:val="28"/>
        </w:rPr>
        <w:t>averny. Princip může být použit pro akumulaci velkého množství elektrické energie a jeho účinnost se pohybuje v rozmezí 27 – 70 %. Výhodou tohoto systému akumulace je dlouhá doba skladování.</w:t>
      </w:r>
    </w:p>
    <w:p w:rsidR="001842B3" w:rsidRPr="00410EFE" w:rsidRDefault="001842B3" w:rsidP="00410EFE">
      <w:pPr>
        <w:pStyle w:val="Odstavecseseznamem"/>
        <w:numPr>
          <w:ilvl w:val="0"/>
          <w:numId w:val="4"/>
        </w:numPr>
        <w:spacing w:line="288" w:lineRule="auto"/>
        <w:ind w:left="284"/>
        <w:jc w:val="both"/>
        <w:rPr>
          <w:rFonts w:ascii="Verdana" w:hAnsi="Verdana" w:cs="Times New Roman"/>
          <w:sz w:val="28"/>
          <w:szCs w:val="28"/>
        </w:rPr>
      </w:pPr>
      <w:r w:rsidRPr="00410EFE">
        <w:rPr>
          <w:rFonts w:ascii="Verdana" w:hAnsi="Verdana" w:cs="Times New Roman"/>
          <w:sz w:val="28"/>
          <w:szCs w:val="28"/>
        </w:rPr>
        <w:lastRenderedPageBreak/>
        <w:t xml:space="preserve">Elektrochemické články představují chemický princip akumulace energie, kdy je energie uchovávána v chemických vazbách elektrodového materiálu. Řadíme sem všechny typy akumulátorů a </w:t>
      </w:r>
      <w:proofErr w:type="spellStart"/>
      <w:r w:rsidRPr="00410EFE">
        <w:rPr>
          <w:rFonts w:ascii="Verdana" w:hAnsi="Verdana" w:cs="Times New Roman"/>
          <w:sz w:val="28"/>
          <w:szCs w:val="28"/>
        </w:rPr>
        <w:t>superkondenzátorů</w:t>
      </w:r>
      <w:proofErr w:type="spellEnd"/>
      <w:r w:rsidRPr="00410EFE">
        <w:rPr>
          <w:rFonts w:ascii="Verdana" w:hAnsi="Verdana" w:cs="Times New Roman"/>
          <w:sz w:val="28"/>
          <w:szCs w:val="28"/>
        </w:rPr>
        <w:t>. Účinnost elektro</w:t>
      </w:r>
      <w:r w:rsidR="00596E23">
        <w:rPr>
          <w:rFonts w:ascii="Verdana" w:hAnsi="Verdana" w:cs="Times New Roman"/>
          <w:sz w:val="28"/>
          <w:szCs w:val="28"/>
        </w:rPr>
        <w:t>-</w:t>
      </w:r>
      <w:r w:rsidRPr="00410EFE">
        <w:rPr>
          <w:rFonts w:ascii="Verdana" w:hAnsi="Verdana" w:cs="Times New Roman"/>
          <w:sz w:val="28"/>
          <w:szCs w:val="28"/>
        </w:rPr>
        <w:t>chemických článků se pohybuje v rozmezí 75 – 95 %.</w:t>
      </w:r>
    </w:p>
    <w:p w:rsidR="00193DEE" w:rsidRPr="00410EFE" w:rsidRDefault="001842B3" w:rsidP="00410EFE">
      <w:pPr>
        <w:pStyle w:val="Odstavecseseznamem"/>
        <w:numPr>
          <w:ilvl w:val="0"/>
          <w:numId w:val="4"/>
        </w:numPr>
        <w:spacing w:line="288" w:lineRule="auto"/>
        <w:ind w:left="284"/>
        <w:jc w:val="both"/>
        <w:rPr>
          <w:rFonts w:ascii="Verdana" w:hAnsi="Verdana" w:cs="Times New Roman"/>
          <w:sz w:val="28"/>
          <w:szCs w:val="28"/>
        </w:rPr>
      </w:pPr>
      <w:r w:rsidRPr="00410EFE">
        <w:rPr>
          <w:rFonts w:ascii="Verdana" w:hAnsi="Verdana" w:cs="Times New Roman"/>
          <w:sz w:val="28"/>
          <w:szCs w:val="28"/>
        </w:rPr>
        <w:t xml:space="preserve">Přečerpávací vodní elektrárny </w:t>
      </w:r>
      <w:r w:rsidR="00596E23">
        <w:rPr>
          <w:rFonts w:ascii="Verdana" w:hAnsi="Verdana" w:cs="Times New Roman"/>
          <w:sz w:val="28"/>
          <w:szCs w:val="28"/>
        </w:rPr>
        <w:t>ukládají</w:t>
      </w:r>
      <w:r w:rsidRPr="00410EFE">
        <w:rPr>
          <w:rFonts w:ascii="Verdana" w:hAnsi="Verdana" w:cs="Times New Roman"/>
          <w:sz w:val="28"/>
          <w:szCs w:val="28"/>
        </w:rPr>
        <w:t xml:space="preserve"> přebytečn</w:t>
      </w:r>
      <w:r w:rsidR="00596E23">
        <w:rPr>
          <w:rFonts w:ascii="Verdana" w:hAnsi="Verdana" w:cs="Times New Roman"/>
          <w:sz w:val="28"/>
          <w:szCs w:val="28"/>
        </w:rPr>
        <w:t>ou</w:t>
      </w:r>
      <w:r w:rsidRPr="00410EFE">
        <w:rPr>
          <w:rFonts w:ascii="Verdana" w:hAnsi="Verdana" w:cs="Times New Roman"/>
          <w:sz w:val="28"/>
          <w:szCs w:val="28"/>
        </w:rPr>
        <w:t xml:space="preserve"> elektrick</w:t>
      </w:r>
      <w:r w:rsidR="00596E23">
        <w:rPr>
          <w:rFonts w:ascii="Verdana" w:hAnsi="Verdana" w:cs="Times New Roman"/>
          <w:sz w:val="28"/>
          <w:szCs w:val="28"/>
        </w:rPr>
        <w:t>ou</w:t>
      </w:r>
      <w:r w:rsidRPr="00410EFE">
        <w:rPr>
          <w:rFonts w:ascii="Verdana" w:hAnsi="Verdana" w:cs="Times New Roman"/>
          <w:sz w:val="28"/>
          <w:szCs w:val="28"/>
        </w:rPr>
        <w:t xml:space="preserve"> energi</w:t>
      </w:r>
      <w:r w:rsidR="00596E23">
        <w:rPr>
          <w:rFonts w:ascii="Verdana" w:hAnsi="Verdana" w:cs="Times New Roman"/>
          <w:sz w:val="28"/>
          <w:szCs w:val="28"/>
        </w:rPr>
        <w:t>i</w:t>
      </w:r>
      <w:r w:rsidRPr="00410EFE">
        <w:rPr>
          <w:rFonts w:ascii="Verdana" w:hAnsi="Verdana" w:cs="Times New Roman"/>
          <w:sz w:val="28"/>
          <w:szCs w:val="28"/>
        </w:rPr>
        <w:t xml:space="preserve"> do energie vody. Ta je Francisovou turbínou </w:t>
      </w:r>
      <w:r w:rsidR="00596E23">
        <w:rPr>
          <w:rFonts w:ascii="Verdana" w:hAnsi="Verdana" w:cs="Times New Roman"/>
          <w:sz w:val="28"/>
          <w:szCs w:val="28"/>
        </w:rPr>
        <w:t>čerpána</w:t>
      </w:r>
      <w:r w:rsidRPr="00410EFE">
        <w:rPr>
          <w:rFonts w:ascii="Verdana" w:hAnsi="Verdana" w:cs="Times New Roman"/>
          <w:sz w:val="28"/>
          <w:szCs w:val="28"/>
        </w:rPr>
        <w:t xml:space="preserve"> do výše položené zásobní nádrže a v případě potřeby využita k výrobě.</w:t>
      </w:r>
    </w:p>
    <w:p w:rsidR="001842B3" w:rsidRDefault="001842B3">
      <w:pPr>
        <w:rPr>
          <w:rFonts w:ascii="Times New Roman" w:hAnsi="Times New Roman" w:cs="Times New Roman"/>
          <w:sz w:val="24"/>
          <w:szCs w:val="24"/>
        </w:rPr>
      </w:pPr>
    </w:p>
    <w:p w:rsidR="003564B2" w:rsidRPr="000644C4" w:rsidRDefault="003564B2" w:rsidP="003564B2">
      <w:pPr>
        <w:pBdr>
          <w:bottom w:val="single" w:sz="4" w:space="1" w:color="auto"/>
        </w:pBdr>
        <w:jc w:val="center"/>
        <w:rPr>
          <w:rFonts w:ascii="Verdana" w:hAnsi="Verdana"/>
          <w:color w:val="0070C0"/>
          <w:sz w:val="40"/>
          <w:szCs w:val="40"/>
        </w:rPr>
      </w:pPr>
      <w:r w:rsidRPr="000644C4">
        <w:rPr>
          <w:rFonts w:ascii="Verdana" w:hAnsi="Verdana"/>
          <w:color w:val="0070C0"/>
          <w:sz w:val="40"/>
          <w:szCs w:val="40"/>
        </w:rPr>
        <w:t>Víte, že …(</w:t>
      </w:r>
      <w:r>
        <w:rPr>
          <w:rFonts w:ascii="Verdana" w:hAnsi="Verdana"/>
          <w:color w:val="0070C0"/>
          <w:sz w:val="40"/>
          <w:szCs w:val="40"/>
        </w:rPr>
        <w:t>dopady těžby surovin</w:t>
      </w:r>
      <w:r w:rsidRPr="000644C4">
        <w:rPr>
          <w:rFonts w:ascii="Verdana" w:hAnsi="Verdana"/>
          <w:color w:val="0070C0"/>
          <w:sz w:val="40"/>
          <w:szCs w:val="40"/>
        </w:rPr>
        <w:t>)</w:t>
      </w:r>
    </w:p>
    <w:p w:rsidR="003564B2" w:rsidRPr="00213C79" w:rsidRDefault="00B92DFD" w:rsidP="00BA1DC3">
      <w:pPr>
        <w:pStyle w:val="Odstavecseseznamem"/>
        <w:numPr>
          <w:ilvl w:val="0"/>
          <w:numId w:val="5"/>
        </w:numPr>
        <w:spacing w:after="240" w:line="288" w:lineRule="auto"/>
        <w:ind w:left="425" w:hanging="357"/>
        <w:rPr>
          <w:rFonts w:asciiTheme="majorHAnsi" w:hAnsiTheme="majorHAnsi" w:cstheme="majorHAnsi"/>
          <w:sz w:val="36"/>
          <w:szCs w:val="36"/>
        </w:rPr>
      </w:pPr>
      <w:r w:rsidRPr="00213C79">
        <w:rPr>
          <w:rFonts w:asciiTheme="majorHAnsi" w:hAnsiTheme="majorHAnsi" w:cstheme="majorHAnsi"/>
          <w:sz w:val="36"/>
          <w:szCs w:val="36"/>
        </w:rPr>
        <w:t xml:space="preserve">Každá těžba nerostných surovin má negativní dopad na životní prostředí, ať je to znečištění ovzduší, zničení orné půdy, poškození rázu krajiny nebo znečištění povrchových </w:t>
      </w:r>
      <w:r w:rsidR="004B5BAD">
        <w:rPr>
          <w:rFonts w:asciiTheme="majorHAnsi" w:hAnsiTheme="majorHAnsi" w:cstheme="majorHAnsi"/>
          <w:sz w:val="36"/>
          <w:szCs w:val="36"/>
        </w:rPr>
        <w:t>a</w:t>
      </w:r>
      <w:r w:rsidRPr="00213C79">
        <w:rPr>
          <w:rFonts w:asciiTheme="majorHAnsi" w:hAnsiTheme="majorHAnsi" w:cstheme="majorHAnsi"/>
          <w:sz w:val="36"/>
          <w:szCs w:val="36"/>
        </w:rPr>
        <w:t xml:space="preserve"> podzemních vod.</w:t>
      </w:r>
    </w:p>
    <w:p w:rsidR="00B92DFD" w:rsidRPr="00213C79" w:rsidRDefault="00B92DFD" w:rsidP="00BA1DC3">
      <w:pPr>
        <w:pStyle w:val="Odstavecseseznamem"/>
        <w:numPr>
          <w:ilvl w:val="0"/>
          <w:numId w:val="5"/>
        </w:numPr>
        <w:spacing w:after="240" w:line="288" w:lineRule="auto"/>
        <w:ind w:left="426"/>
        <w:rPr>
          <w:rFonts w:asciiTheme="majorHAnsi" w:hAnsiTheme="majorHAnsi" w:cstheme="majorHAnsi"/>
          <w:sz w:val="36"/>
          <w:szCs w:val="36"/>
        </w:rPr>
      </w:pPr>
      <w:r w:rsidRPr="00213C79">
        <w:rPr>
          <w:rFonts w:asciiTheme="majorHAnsi" w:hAnsiTheme="majorHAnsi" w:cstheme="majorHAnsi"/>
          <w:sz w:val="36"/>
          <w:szCs w:val="36"/>
        </w:rPr>
        <w:t>Při těžbě uhlí je potřeba počítat s náklady na odstranění následků těžby a rekultivaci krajiny v hodnotě 250 Kč za každou vytěženou tunu.</w:t>
      </w:r>
    </w:p>
    <w:p w:rsidR="00B92DFD" w:rsidRDefault="00B92DFD" w:rsidP="00BA1DC3">
      <w:pPr>
        <w:pStyle w:val="Odstavecseseznamem"/>
        <w:numPr>
          <w:ilvl w:val="0"/>
          <w:numId w:val="5"/>
        </w:numPr>
        <w:spacing w:after="240" w:line="288" w:lineRule="auto"/>
        <w:ind w:left="426"/>
        <w:rPr>
          <w:rFonts w:asciiTheme="majorHAnsi" w:hAnsiTheme="majorHAnsi" w:cstheme="majorHAnsi"/>
          <w:sz w:val="36"/>
          <w:szCs w:val="36"/>
        </w:rPr>
      </w:pPr>
      <w:r w:rsidRPr="00213C79">
        <w:rPr>
          <w:rFonts w:asciiTheme="majorHAnsi" w:hAnsiTheme="majorHAnsi" w:cstheme="majorHAnsi"/>
          <w:sz w:val="36"/>
          <w:szCs w:val="36"/>
        </w:rPr>
        <w:t xml:space="preserve">Podobně je to i u těžby uranu, kde náklady spojené s odstraněním následků dosahují </w:t>
      </w:r>
      <w:r w:rsidR="00BA1DC3" w:rsidRPr="00213C79">
        <w:rPr>
          <w:rFonts w:asciiTheme="majorHAnsi" w:hAnsiTheme="majorHAnsi" w:cstheme="majorHAnsi"/>
          <w:sz w:val="36"/>
          <w:szCs w:val="36"/>
        </w:rPr>
        <w:t>6</w:t>
      </w:r>
      <w:r w:rsidR="00916FC9">
        <w:rPr>
          <w:rFonts w:asciiTheme="majorHAnsi" w:hAnsiTheme="majorHAnsi" w:cstheme="majorHAnsi"/>
          <w:sz w:val="36"/>
          <w:szCs w:val="36"/>
        </w:rPr>
        <w:t xml:space="preserve"> </w:t>
      </w:r>
      <w:r w:rsidR="00BA1DC3" w:rsidRPr="00213C79">
        <w:rPr>
          <w:rFonts w:asciiTheme="majorHAnsi" w:hAnsiTheme="majorHAnsi" w:cstheme="majorHAnsi"/>
          <w:sz w:val="36"/>
          <w:szCs w:val="36"/>
        </w:rPr>
        <w:t>00</w:t>
      </w:r>
      <w:r w:rsidR="00573E3D">
        <w:rPr>
          <w:rFonts w:asciiTheme="majorHAnsi" w:hAnsiTheme="majorHAnsi" w:cstheme="majorHAnsi"/>
          <w:sz w:val="36"/>
          <w:szCs w:val="36"/>
        </w:rPr>
        <w:t>0</w:t>
      </w:r>
      <w:r w:rsidR="00BA1DC3" w:rsidRPr="00213C79">
        <w:rPr>
          <w:rFonts w:asciiTheme="majorHAnsi" w:hAnsiTheme="majorHAnsi" w:cstheme="majorHAnsi"/>
          <w:sz w:val="36"/>
          <w:szCs w:val="36"/>
        </w:rPr>
        <w:t> Kč za vytěženou tunu suroviny.</w:t>
      </w:r>
    </w:p>
    <w:p w:rsidR="00DB35C9" w:rsidRPr="00213C79" w:rsidRDefault="00DB35C9" w:rsidP="00BA1DC3">
      <w:pPr>
        <w:pStyle w:val="Odstavecseseznamem"/>
        <w:numPr>
          <w:ilvl w:val="0"/>
          <w:numId w:val="5"/>
        </w:numPr>
        <w:spacing w:after="240" w:line="288" w:lineRule="auto"/>
        <w:ind w:left="426"/>
        <w:rPr>
          <w:rFonts w:asciiTheme="majorHAnsi" w:hAnsiTheme="majorHAnsi" w:cstheme="majorHAnsi"/>
          <w:sz w:val="36"/>
          <w:szCs w:val="36"/>
        </w:rPr>
      </w:pPr>
      <w:r>
        <w:rPr>
          <w:rFonts w:asciiTheme="majorHAnsi" w:hAnsiTheme="majorHAnsi" w:cstheme="majorHAnsi"/>
          <w:sz w:val="36"/>
          <w:szCs w:val="36"/>
        </w:rPr>
        <w:t>Při těžbě ropy a plynu se platí do fondu životního prostředí 50 Kč za každou vytěženou tunu.</w:t>
      </w:r>
    </w:p>
    <w:p w:rsidR="00BA1DC3" w:rsidRPr="00213C79" w:rsidRDefault="00BA1DC3" w:rsidP="00BA1DC3">
      <w:pPr>
        <w:pStyle w:val="Odstavecseseznamem"/>
        <w:numPr>
          <w:ilvl w:val="0"/>
          <w:numId w:val="5"/>
        </w:numPr>
        <w:spacing w:after="240" w:line="288" w:lineRule="auto"/>
        <w:ind w:left="426"/>
        <w:rPr>
          <w:rFonts w:asciiTheme="majorHAnsi" w:hAnsiTheme="majorHAnsi" w:cstheme="majorHAnsi"/>
          <w:sz w:val="36"/>
          <w:szCs w:val="36"/>
        </w:rPr>
      </w:pPr>
      <w:r w:rsidRPr="00213C79">
        <w:rPr>
          <w:rFonts w:asciiTheme="majorHAnsi" w:hAnsiTheme="majorHAnsi" w:cstheme="majorHAnsi"/>
          <w:sz w:val="36"/>
          <w:szCs w:val="36"/>
        </w:rPr>
        <w:lastRenderedPageBreak/>
        <w:t>Při budování vodních nádrží je potřeba platit jednorázové náhrady za majetek v zatopených území. Za každý m</w:t>
      </w:r>
      <w:r w:rsidRPr="00213C79">
        <w:rPr>
          <w:rFonts w:asciiTheme="majorHAnsi" w:hAnsiTheme="majorHAnsi" w:cstheme="majorHAnsi"/>
          <w:sz w:val="36"/>
          <w:szCs w:val="36"/>
          <w:vertAlign w:val="superscript"/>
        </w:rPr>
        <w:t>3</w:t>
      </w:r>
      <w:r w:rsidRPr="00213C79">
        <w:rPr>
          <w:rFonts w:asciiTheme="majorHAnsi" w:hAnsiTheme="majorHAnsi" w:cstheme="majorHAnsi"/>
          <w:sz w:val="36"/>
          <w:szCs w:val="36"/>
        </w:rPr>
        <w:t xml:space="preserve"> vody ve vodní nádrži to je částka 2 Kč.</w:t>
      </w:r>
    </w:p>
    <w:p w:rsidR="00BA1DC3" w:rsidRPr="00213C79" w:rsidRDefault="00213C79" w:rsidP="00BA1DC3">
      <w:pPr>
        <w:pStyle w:val="Odstavecseseznamem"/>
        <w:numPr>
          <w:ilvl w:val="0"/>
          <w:numId w:val="5"/>
        </w:numPr>
        <w:spacing w:after="240" w:line="288" w:lineRule="auto"/>
        <w:ind w:left="426"/>
        <w:rPr>
          <w:rFonts w:asciiTheme="majorHAnsi" w:hAnsiTheme="majorHAnsi" w:cstheme="majorHAnsi"/>
          <w:sz w:val="36"/>
          <w:szCs w:val="36"/>
        </w:rPr>
      </w:pPr>
      <w:r w:rsidRPr="00213C79">
        <w:rPr>
          <w:rFonts w:asciiTheme="majorHAnsi" w:hAnsiTheme="majorHAnsi" w:cstheme="majorHAnsi"/>
          <w:sz w:val="36"/>
          <w:szCs w:val="36"/>
        </w:rPr>
        <w:t>E</w:t>
      </w:r>
      <w:r w:rsidR="00BA1DC3" w:rsidRPr="00213C79">
        <w:rPr>
          <w:rFonts w:asciiTheme="majorHAnsi" w:hAnsiTheme="majorHAnsi" w:cstheme="majorHAnsi"/>
          <w:sz w:val="36"/>
          <w:szCs w:val="36"/>
        </w:rPr>
        <w:t>lektrárny platí obcím v jejich okolí každoroční odškodné za znečištění okolního prostředí</w:t>
      </w:r>
      <w:r w:rsidRPr="00213C79">
        <w:rPr>
          <w:rFonts w:asciiTheme="majorHAnsi" w:hAnsiTheme="majorHAnsi" w:cstheme="majorHAnsi"/>
          <w:sz w:val="36"/>
          <w:szCs w:val="36"/>
        </w:rPr>
        <w:t xml:space="preserve"> a možné riziko</w:t>
      </w:r>
      <w:r w:rsidR="00BA1DC3" w:rsidRPr="00213C79">
        <w:rPr>
          <w:rFonts w:asciiTheme="majorHAnsi" w:hAnsiTheme="majorHAnsi" w:cstheme="majorHAnsi"/>
          <w:sz w:val="36"/>
          <w:szCs w:val="36"/>
        </w:rPr>
        <w:t>. Čás</w:t>
      </w:r>
      <w:r w:rsidR="00916FC9">
        <w:rPr>
          <w:rFonts w:asciiTheme="majorHAnsi" w:hAnsiTheme="majorHAnsi" w:cstheme="majorHAnsi"/>
          <w:sz w:val="36"/>
          <w:szCs w:val="36"/>
        </w:rPr>
        <w:t>tka je 30 000 Kč ročně za každý</w:t>
      </w:r>
      <w:r w:rsidR="00BA1DC3" w:rsidRPr="00213C79">
        <w:rPr>
          <w:rFonts w:asciiTheme="majorHAnsi" w:hAnsiTheme="majorHAnsi" w:cstheme="majorHAnsi"/>
          <w:sz w:val="36"/>
          <w:szCs w:val="36"/>
        </w:rPr>
        <w:t xml:space="preserve"> MW instalovaného výkonu.</w:t>
      </w:r>
    </w:p>
    <w:p w:rsidR="00213C79" w:rsidRPr="00213C79" w:rsidRDefault="00213C79" w:rsidP="00BA1DC3">
      <w:pPr>
        <w:pStyle w:val="Odstavecseseznamem"/>
        <w:numPr>
          <w:ilvl w:val="0"/>
          <w:numId w:val="5"/>
        </w:numPr>
        <w:spacing w:after="240" w:line="288" w:lineRule="auto"/>
        <w:ind w:left="426"/>
        <w:rPr>
          <w:rFonts w:asciiTheme="majorHAnsi" w:hAnsiTheme="majorHAnsi" w:cstheme="majorHAnsi"/>
          <w:sz w:val="36"/>
          <w:szCs w:val="36"/>
        </w:rPr>
      </w:pPr>
      <w:r w:rsidRPr="00213C79">
        <w:rPr>
          <w:rFonts w:asciiTheme="majorHAnsi" w:hAnsiTheme="majorHAnsi" w:cstheme="majorHAnsi"/>
          <w:sz w:val="36"/>
          <w:szCs w:val="36"/>
        </w:rPr>
        <w:t>Orná půda je jedna z nejcennějších surovin, které máme. Ročně se ve světě zničí desítky tisíc hektarů orné půdy, které již nelze nahradit. Z velké části se na tom podílí člověk těžbou nerostných surovin a průmyslovou nebo obchodní zástavbou.</w:t>
      </w:r>
    </w:p>
    <w:sectPr w:rsidR="00213C79" w:rsidRPr="00213C7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D1" w:rsidRDefault="007456D1" w:rsidP="007456D1">
      <w:pPr>
        <w:spacing w:after="0" w:line="240" w:lineRule="auto"/>
      </w:pPr>
      <w:r>
        <w:separator/>
      </w:r>
    </w:p>
  </w:endnote>
  <w:endnote w:type="continuationSeparator" w:id="0">
    <w:p w:rsidR="007456D1" w:rsidRDefault="007456D1" w:rsidP="0074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6D1" w:rsidRDefault="007456D1">
    <w:pPr>
      <w:pStyle w:val="Zpat"/>
    </w:pPr>
    <w:r>
      <w:rPr>
        <w:rFonts w:ascii="Times New Roman" w:hAnsi="Times New Roman" w:cs="Times New Roman"/>
        <w:noProof/>
        <w:sz w:val="32"/>
        <w:szCs w:val="32"/>
        <w:lang w:eastAsia="cs-CZ"/>
      </w:rPr>
      <w:drawing>
        <wp:inline distT="0" distB="0" distL="0" distR="0" wp14:anchorId="1A7F1374" wp14:editId="1819FD71">
          <wp:extent cx="5760720" cy="12782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D1" w:rsidRDefault="007456D1" w:rsidP="007456D1">
      <w:pPr>
        <w:spacing w:after="0" w:line="240" w:lineRule="auto"/>
      </w:pPr>
      <w:r>
        <w:separator/>
      </w:r>
    </w:p>
  </w:footnote>
  <w:footnote w:type="continuationSeparator" w:id="0">
    <w:p w:rsidR="007456D1" w:rsidRDefault="007456D1" w:rsidP="00745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2EA3"/>
    <w:multiLevelType w:val="hybridMultilevel"/>
    <w:tmpl w:val="A9DE42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5956B4"/>
    <w:multiLevelType w:val="hybridMultilevel"/>
    <w:tmpl w:val="21BCB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807B70"/>
    <w:multiLevelType w:val="hybridMultilevel"/>
    <w:tmpl w:val="B83A26D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F2333D"/>
    <w:multiLevelType w:val="hybridMultilevel"/>
    <w:tmpl w:val="B86A37E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41BE4939"/>
    <w:multiLevelType w:val="hybridMultilevel"/>
    <w:tmpl w:val="95E0438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4A0624"/>
    <w:multiLevelType w:val="hybridMultilevel"/>
    <w:tmpl w:val="A1FAA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5C"/>
    <w:rsid w:val="000644C4"/>
    <w:rsid w:val="00127507"/>
    <w:rsid w:val="001842B3"/>
    <w:rsid w:val="00193DEE"/>
    <w:rsid w:val="00213C79"/>
    <w:rsid w:val="00227379"/>
    <w:rsid w:val="00353B3C"/>
    <w:rsid w:val="003564B2"/>
    <w:rsid w:val="00410EFE"/>
    <w:rsid w:val="004B5BAD"/>
    <w:rsid w:val="004D1073"/>
    <w:rsid w:val="004F2237"/>
    <w:rsid w:val="00573E3D"/>
    <w:rsid w:val="00593D6E"/>
    <w:rsid w:val="00596E23"/>
    <w:rsid w:val="005B50CC"/>
    <w:rsid w:val="00603E3F"/>
    <w:rsid w:val="0061218D"/>
    <w:rsid w:val="006A7CD8"/>
    <w:rsid w:val="00726773"/>
    <w:rsid w:val="007456D1"/>
    <w:rsid w:val="00780A02"/>
    <w:rsid w:val="007C465C"/>
    <w:rsid w:val="00820D29"/>
    <w:rsid w:val="00875679"/>
    <w:rsid w:val="008D033F"/>
    <w:rsid w:val="00916FC9"/>
    <w:rsid w:val="0095408A"/>
    <w:rsid w:val="009E2977"/>
    <w:rsid w:val="00B20473"/>
    <w:rsid w:val="00B31FC7"/>
    <w:rsid w:val="00B47B43"/>
    <w:rsid w:val="00B92DFD"/>
    <w:rsid w:val="00BA1DC3"/>
    <w:rsid w:val="00BF0FDF"/>
    <w:rsid w:val="00C74CCD"/>
    <w:rsid w:val="00C8322F"/>
    <w:rsid w:val="00CE3359"/>
    <w:rsid w:val="00D41654"/>
    <w:rsid w:val="00DB35C9"/>
    <w:rsid w:val="00E80EC9"/>
    <w:rsid w:val="00E87417"/>
    <w:rsid w:val="00F76844"/>
    <w:rsid w:val="00F84661"/>
    <w:rsid w:val="00FF6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5442C-4644-4F23-9C8E-0D4984D5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644C4"/>
    <w:pPr>
      <w:ind w:left="720"/>
      <w:contextualSpacing/>
    </w:pPr>
  </w:style>
  <w:style w:type="character" w:styleId="Hypertextovodkaz">
    <w:name w:val="Hyperlink"/>
    <w:basedOn w:val="Standardnpsmoodstavce"/>
    <w:uiPriority w:val="99"/>
    <w:semiHidden/>
    <w:unhideWhenUsed/>
    <w:rsid w:val="004F2237"/>
    <w:rPr>
      <w:color w:val="0000FF"/>
      <w:u w:val="single"/>
    </w:rPr>
  </w:style>
  <w:style w:type="paragraph" w:styleId="Normlnweb">
    <w:name w:val="Normal (Web)"/>
    <w:basedOn w:val="Normln"/>
    <w:uiPriority w:val="99"/>
    <w:semiHidden/>
    <w:unhideWhenUsed/>
    <w:rsid w:val="00E874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67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6773"/>
    <w:rPr>
      <w:rFonts w:ascii="Segoe UI" w:hAnsi="Segoe UI" w:cs="Segoe UI"/>
      <w:sz w:val="18"/>
      <w:szCs w:val="18"/>
    </w:rPr>
  </w:style>
  <w:style w:type="paragraph" w:styleId="Zhlav">
    <w:name w:val="header"/>
    <w:basedOn w:val="Normln"/>
    <w:link w:val="ZhlavChar"/>
    <w:uiPriority w:val="99"/>
    <w:unhideWhenUsed/>
    <w:rsid w:val="007456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56D1"/>
  </w:style>
  <w:style w:type="paragraph" w:styleId="Zpat">
    <w:name w:val="footer"/>
    <w:basedOn w:val="Normln"/>
    <w:link w:val="ZpatChar"/>
    <w:uiPriority w:val="99"/>
    <w:unhideWhenUsed/>
    <w:rsid w:val="007456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45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3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Elektrick%C3%A1_energ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Transform%C3%A1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wikipedia.org/wiki/Distribu%C4%8Dn%C3%AD_soustava" TargetMode="External"/><Relationship Id="rId4" Type="http://schemas.openxmlformats.org/officeDocument/2006/relationships/settings" Target="settings.xml"/><Relationship Id="rId9" Type="http://schemas.openxmlformats.org/officeDocument/2006/relationships/hyperlink" Target="https://cs.wikipedia.org/wiki/Elektr%C3%A1rn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298BF-CDFC-44C6-9417-0387F82C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1377</Words>
  <Characters>8130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Vávra Václav</dc:creator>
  <cp:keywords/>
  <dc:description/>
  <cp:lastModifiedBy>Čáslavová Lucie</cp:lastModifiedBy>
  <cp:revision>26</cp:revision>
  <cp:lastPrinted>2018-12-18T09:59:00Z</cp:lastPrinted>
  <dcterms:created xsi:type="dcterms:W3CDTF">2018-11-21T06:46:00Z</dcterms:created>
  <dcterms:modified xsi:type="dcterms:W3CDTF">2020-10-12T08:17:00Z</dcterms:modified>
</cp:coreProperties>
</file>