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05A5" w:rsidRPr="00BA3DA2" w:rsidRDefault="00E105A5" w:rsidP="00E105A5">
      <w:pPr>
        <w:widowControl w:val="0"/>
        <w:autoSpaceDE w:val="0"/>
        <w:autoSpaceDN w:val="0"/>
        <w:jc w:val="center"/>
        <w:rPr>
          <w:rFonts w:ascii="Times New Roman" w:hAnsi="Times New Roman" w:cs="Times New Roman"/>
          <w:b/>
          <w:sz w:val="36"/>
          <w:szCs w:val="36"/>
        </w:rPr>
      </w:pPr>
      <w:r w:rsidRPr="00BA3DA2">
        <w:rPr>
          <w:rFonts w:ascii="Times New Roman" w:hAnsi="Times New Roman" w:cs="Times New Roman"/>
          <w:b/>
          <w:sz w:val="36"/>
          <w:szCs w:val="36"/>
        </w:rPr>
        <w:t xml:space="preserve">VIDA! </w:t>
      </w:r>
      <w:proofErr w:type="gramStart"/>
      <w:r w:rsidRPr="00BA3DA2">
        <w:rPr>
          <w:rFonts w:ascii="Times New Roman" w:hAnsi="Times New Roman" w:cs="Times New Roman"/>
          <w:b/>
          <w:sz w:val="36"/>
          <w:szCs w:val="36"/>
        </w:rPr>
        <w:t>školám</w:t>
      </w:r>
      <w:proofErr w:type="gramEnd"/>
      <w:r w:rsidRPr="00BA3DA2">
        <w:rPr>
          <w:rFonts w:ascii="Times New Roman" w:hAnsi="Times New Roman" w:cs="Times New Roman"/>
          <w:b/>
          <w:sz w:val="36"/>
          <w:szCs w:val="36"/>
        </w:rPr>
        <w:t xml:space="preserve"> - propojení formálního a neformálního vzdělávání</w:t>
      </w:r>
    </w:p>
    <w:p w:rsidR="00E105A5" w:rsidRPr="00BA3DA2" w:rsidRDefault="00E105A5" w:rsidP="00E105A5">
      <w:pPr>
        <w:spacing w:after="240"/>
        <w:ind w:firstLine="284"/>
        <w:jc w:val="center"/>
        <w:rPr>
          <w:rFonts w:ascii="Times New Roman" w:hAnsi="Times New Roman" w:cs="Times New Roman"/>
          <w:b/>
          <w:sz w:val="36"/>
          <w:szCs w:val="36"/>
        </w:rPr>
      </w:pPr>
      <w:r w:rsidRPr="00BA3DA2">
        <w:rPr>
          <w:rFonts w:ascii="Times New Roman" w:hAnsi="Times New Roman" w:cs="Times New Roman"/>
          <w:b/>
          <w:sz w:val="36"/>
          <w:szCs w:val="36"/>
        </w:rPr>
        <w:t>CZ.02.3.68/0.0/0.0/16_032/0008290</w:t>
      </w:r>
    </w:p>
    <w:p w:rsidR="00E105A5" w:rsidRPr="00BA3DA2" w:rsidRDefault="00E105A5" w:rsidP="00E105A5">
      <w:pPr>
        <w:spacing w:after="240"/>
        <w:ind w:firstLine="284"/>
        <w:rPr>
          <w:rFonts w:ascii="Times New Roman" w:hAnsi="Times New Roman" w:cs="Times New Roman"/>
          <w:sz w:val="28"/>
          <w:szCs w:val="28"/>
        </w:rPr>
      </w:pPr>
    </w:p>
    <w:p w:rsidR="00E105A5" w:rsidRPr="00BA3DA2" w:rsidRDefault="00E105A5" w:rsidP="00E105A5">
      <w:pPr>
        <w:spacing w:after="240"/>
        <w:ind w:firstLine="284"/>
        <w:rPr>
          <w:rFonts w:ascii="Times New Roman" w:hAnsi="Times New Roman" w:cs="Times New Roman"/>
          <w:sz w:val="28"/>
          <w:szCs w:val="28"/>
        </w:rPr>
      </w:pPr>
    </w:p>
    <w:p w:rsidR="00E105A5" w:rsidRPr="00BA3DA2" w:rsidRDefault="00E105A5" w:rsidP="00E105A5">
      <w:pPr>
        <w:spacing w:after="240"/>
        <w:ind w:firstLine="284"/>
        <w:rPr>
          <w:rFonts w:ascii="Times New Roman" w:hAnsi="Times New Roman" w:cs="Times New Roman"/>
          <w:sz w:val="28"/>
          <w:szCs w:val="28"/>
        </w:rPr>
      </w:pPr>
    </w:p>
    <w:p w:rsidR="00E105A5" w:rsidRPr="00BA3DA2" w:rsidRDefault="00E105A5" w:rsidP="00E105A5">
      <w:pPr>
        <w:spacing w:after="240"/>
        <w:ind w:firstLine="284"/>
        <w:jc w:val="center"/>
        <w:rPr>
          <w:rFonts w:ascii="Times New Roman" w:hAnsi="Times New Roman" w:cs="Times New Roman"/>
          <w:b/>
          <w:sz w:val="40"/>
          <w:szCs w:val="40"/>
        </w:rPr>
      </w:pPr>
      <w:r w:rsidRPr="00BA3DA2">
        <w:rPr>
          <w:rFonts w:ascii="Times New Roman" w:hAnsi="Times New Roman" w:cs="Times New Roman"/>
          <w:b/>
          <w:sz w:val="40"/>
          <w:szCs w:val="40"/>
        </w:rPr>
        <w:t>Program: Dva dny s energií</w:t>
      </w:r>
    </w:p>
    <w:p w:rsidR="00E105A5" w:rsidRDefault="00E105A5" w:rsidP="00E105A5">
      <w:pPr>
        <w:spacing w:after="240"/>
        <w:ind w:firstLine="284"/>
        <w:rPr>
          <w:rFonts w:ascii="Times New Roman" w:hAnsi="Times New Roman" w:cs="Times New Roman"/>
          <w:sz w:val="28"/>
          <w:szCs w:val="28"/>
        </w:rPr>
      </w:pPr>
    </w:p>
    <w:p w:rsidR="00E105A5" w:rsidRDefault="00E105A5" w:rsidP="00E105A5">
      <w:pPr>
        <w:spacing w:after="240"/>
        <w:ind w:firstLine="284"/>
        <w:rPr>
          <w:rFonts w:ascii="Times New Roman" w:hAnsi="Times New Roman" w:cs="Times New Roman"/>
          <w:sz w:val="28"/>
          <w:szCs w:val="28"/>
        </w:rPr>
      </w:pPr>
    </w:p>
    <w:p w:rsidR="00E105A5" w:rsidRDefault="00E105A5" w:rsidP="00E105A5">
      <w:pPr>
        <w:spacing w:after="240"/>
        <w:ind w:firstLine="284"/>
        <w:rPr>
          <w:rFonts w:ascii="Times New Roman" w:hAnsi="Times New Roman" w:cs="Times New Roman"/>
          <w:sz w:val="28"/>
          <w:szCs w:val="28"/>
        </w:rPr>
      </w:pPr>
      <w:r>
        <w:rPr>
          <w:rFonts w:ascii="Times New Roman" w:hAnsi="Times New Roman" w:cs="Times New Roman"/>
          <w:sz w:val="28"/>
          <w:szCs w:val="28"/>
        </w:rPr>
        <w:t>Podkladový materiál – informační karty pro hru v ekocentru Alternátor ve variantě pro střední školy. Cílové informace jsou stejné jako pro žáky ZŠ, ale je potřeba se zorientovat ve větším množství textu a dokázat jej kriticky zhodnotit, tedy získat potřebné informace.</w:t>
      </w:r>
    </w:p>
    <w:p w:rsidR="00E105A5" w:rsidRPr="00BA3DA2" w:rsidRDefault="00E105A5" w:rsidP="00E105A5">
      <w:pPr>
        <w:spacing w:after="240"/>
        <w:ind w:firstLine="284"/>
        <w:rPr>
          <w:rFonts w:ascii="Times New Roman" w:hAnsi="Times New Roman" w:cs="Times New Roman"/>
          <w:sz w:val="28"/>
          <w:szCs w:val="28"/>
        </w:rPr>
      </w:pPr>
      <w:r>
        <w:rPr>
          <w:rFonts w:ascii="Times New Roman" w:hAnsi="Times New Roman" w:cs="Times New Roman"/>
          <w:sz w:val="28"/>
          <w:szCs w:val="28"/>
        </w:rPr>
        <w:t xml:space="preserve">Karty je vhodné </w:t>
      </w:r>
      <w:proofErr w:type="spellStart"/>
      <w:r>
        <w:rPr>
          <w:rFonts w:ascii="Times New Roman" w:hAnsi="Times New Roman" w:cs="Times New Roman"/>
          <w:sz w:val="28"/>
          <w:szCs w:val="28"/>
        </w:rPr>
        <w:t>zalaminovat</w:t>
      </w:r>
      <w:proofErr w:type="spellEnd"/>
      <w:r>
        <w:rPr>
          <w:rFonts w:ascii="Times New Roman" w:hAnsi="Times New Roman" w:cs="Times New Roman"/>
          <w:sz w:val="28"/>
          <w:szCs w:val="28"/>
        </w:rPr>
        <w:t xml:space="preserve"> do fólie.</w:t>
      </w:r>
    </w:p>
    <w:p w:rsidR="00E105A5" w:rsidRDefault="00E105A5" w:rsidP="00E105A5">
      <w:pPr>
        <w:pBdr>
          <w:bottom w:val="single" w:sz="4" w:space="1" w:color="auto"/>
        </w:pBdr>
        <w:jc w:val="center"/>
        <w:rPr>
          <w:rFonts w:ascii="Times New Roman" w:hAnsi="Times New Roman" w:cs="Times New Roman"/>
          <w:sz w:val="32"/>
          <w:szCs w:val="32"/>
        </w:rPr>
      </w:pPr>
    </w:p>
    <w:p w:rsidR="00E105A5" w:rsidRDefault="00E105A5" w:rsidP="0036521C">
      <w:pPr>
        <w:pBdr>
          <w:bottom w:val="single" w:sz="4" w:space="1" w:color="auto"/>
        </w:pBdr>
        <w:rPr>
          <w:rFonts w:ascii="Times New Roman" w:hAnsi="Times New Roman" w:cs="Times New Roman"/>
          <w:caps/>
        </w:rPr>
      </w:pPr>
    </w:p>
    <w:p w:rsidR="00E105A5" w:rsidRDefault="00E105A5" w:rsidP="0036521C">
      <w:pPr>
        <w:pBdr>
          <w:bottom w:val="single" w:sz="4" w:space="1" w:color="auto"/>
        </w:pBdr>
        <w:rPr>
          <w:rFonts w:ascii="Times New Roman" w:hAnsi="Times New Roman" w:cs="Times New Roman"/>
          <w:caps/>
        </w:rPr>
      </w:pPr>
    </w:p>
    <w:p w:rsidR="00E105A5" w:rsidRDefault="00E105A5" w:rsidP="0036521C">
      <w:pPr>
        <w:pBdr>
          <w:bottom w:val="single" w:sz="4" w:space="1" w:color="auto"/>
        </w:pBdr>
        <w:rPr>
          <w:rFonts w:ascii="Times New Roman" w:hAnsi="Times New Roman" w:cs="Times New Roman"/>
          <w:caps/>
        </w:rPr>
      </w:pPr>
    </w:p>
    <w:p w:rsidR="00E105A5" w:rsidRDefault="00E105A5" w:rsidP="0036521C">
      <w:pPr>
        <w:pBdr>
          <w:bottom w:val="single" w:sz="4" w:space="1" w:color="auto"/>
        </w:pBdr>
        <w:rPr>
          <w:rFonts w:ascii="Times New Roman" w:hAnsi="Times New Roman" w:cs="Times New Roman"/>
          <w:caps/>
        </w:rPr>
      </w:pPr>
    </w:p>
    <w:p w:rsidR="00E105A5" w:rsidRDefault="00E105A5" w:rsidP="0036521C">
      <w:pPr>
        <w:pBdr>
          <w:bottom w:val="single" w:sz="4" w:space="1" w:color="auto"/>
        </w:pBdr>
        <w:rPr>
          <w:rFonts w:ascii="Times New Roman" w:hAnsi="Times New Roman" w:cs="Times New Roman"/>
          <w:caps/>
        </w:rPr>
      </w:pPr>
    </w:p>
    <w:p w:rsidR="00E105A5" w:rsidRDefault="00E105A5" w:rsidP="0036521C">
      <w:pPr>
        <w:pBdr>
          <w:bottom w:val="single" w:sz="4" w:space="1" w:color="auto"/>
        </w:pBdr>
        <w:rPr>
          <w:rFonts w:ascii="Times New Roman" w:hAnsi="Times New Roman" w:cs="Times New Roman"/>
          <w:caps/>
        </w:rPr>
      </w:pPr>
    </w:p>
    <w:p w:rsidR="00E105A5" w:rsidRDefault="00E105A5" w:rsidP="0036521C">
      <w:pPr>
        <w:pBdr>
          <w:bottom w:val="single" w:sz="4" w:space="1" w:color="auto"/>
        </w:pBdr>
        <w:rPr>
          <w:rFonts w:ascii="Times New Roman" w:hAnsi="Times New Roman" w:cs="Times New Roman"/>
          <w:caps/>
        </w:rPr>
      </w:pPr>
    </w:p>
    <w:p w:rsidR="00E105A5" w:rsidRDefault="00E105A5" w:rsidP="0036521C">
      <w:pPr>
        <w:pBdr>
          <w:bottom w:val="single" w:sz="4" w:space="1" w:color="auto"/>
        </w:pBdr>
        <w:rPr>
          <w:rFonts w:ascii="Times New Roman" w:hAnsi="Times New Roman" w:cs="Times New Roman"/>
          <w:caps/>
        </w:rPr>
      </w:pPr>
    </w:p>
    <w:p w:rsidR="00E105A5" w:rsidRPr="00E105A5" w:rsidRDefault="00E105A5" w:rsidP="0036521C">
      <w:pPr>
        <w:pBdr>
          <w:bottom w:val="single" w:sz="4" w:space="1" w:color="auto"/>
        </w:pBdr>
        <w:rPr>
          <w:rFonts w:ascii="Times New Roman" w:hAnsi="Times New Roman" w:cs="Times New Roman"/>
          <w:caps/>
        </w:rPr>
      </w:pPr>
    </w:p>
    <w:p w:rsidR="00D97E5B" w:rsidRDefault="00D97E5B" w:rsidP="0036521C">
      <w:pPr>
        <w:pBdr>
          <w:bottom w:val="single" w:sz="4" w:space="1" w:color="auto"/>
        </w:pBdr>
        <w:rPr>
          <w:caps/>
        </w:rPr>
      </w:pPr>
    </w:p>
    <w:p w:rsidR="00726B06" w:rsidRDefault="0036521C" w:rsidP="0036521C">
      <w:pPr>
        <w:pBdr>
          <w:bottom w:val="single" w:sz="4" w:space="1" w:color="auto"/>
        </w:pBdr>
      </w:pPr>
      <w:r w:rsidRPr="0036521C">
        <w:rPr>
          <w:caps/>
        </w:rPr>
        <w:lastRenderedPageBreak/>
        <w:t>Applied geology</w:t>
      </w:r>
      <w:r>
        <w:t xml:space="preserve">, 2015, </w:t>
      </w:r>
      <w:proofErr w:type="spellStart"/>
      <w:r>
        <w:t>Abstracts</w:t>
      </w:r>
      <w:proofErr w:type="spellEnd"/>
      <w:r>
        <w:t>, vol. 3, p. 25-26</w:t>
      </w:r>
    </w:p>
    <w:p w:rsidR="0036521C" w:rsidRPr="0036521C" w:rsidRDefault="0036521C" w:rsidP="0036521C">
      <w:pPr>
        <w:jc w:val="center"/>
        <w:rPr>
          <w:sz w:val="36"/>
          <w:szCs w:val="36"/>
        </w:rPr>
      </w:pPr>
      <w:r w:rsidRPr="0036521C">
        <w:rPr>
          <w:sz w:val="36"/>
          <w:szCs w:val="36"/>
        </w:rPr>
        <w:t xml:space="preserve">Termální </w:t>
      </w:r>
      <w:r w:rsidR="005A39EE">
        <w:rPr>
          <w:sz w:val="36"/>
          <w:szCs w:val="36"/>
        </w:rPr>
        <w:t xml:space="preserve">zemský </w:t>
      </w:r>
      <w:r w:rsidRPr="0036521C">
        <w:rPr>
          <w:sz w:val="36"/>
          <w:szCs w:val="36"/>
        </w:rPr>
        <w:t>gradient a jeho možnosti využití</w:t>
      </w:r>
    </w:p>
    <w:p w:rsidR="0036521C" w:rsidRPr="0036521C" w:rsidRDefault="0036521C">
      <w:pPr>
        <w:rPr>
          <w:i/>
        </w:rPr>
      </w:pPr>
      <w:r w:rsidRPr="0036521C">
        <w:rPr>
          <w:i/>
        </w:rPr>
        <w:t xml:space="preserve">Benjamin </w:t>
      </w:r>
      <w:proofErr w:type="spellStart"/>
      <w:r w:rsidRPr="0036521C">
        <w:rPr>
          <w:i/>
        </w:rPr>
        <w:t>Rocktherm</w:t>
      </w:r>
      <w:proofErr w:type="spellEnd"/>
      <w:r w:rsidRPr="0036521C">
        <w:rPr>
          <w:i/>
        </w:rPr>
        <w:t xml:space="preserve">, Carl </w:t>
      </w:r>
      <w:proofErr w:type="spellStart"/>
      <w:r w:rsidR="00F87F78">
        <w:rPr>
          <w:i/>
        </w:rPr>
        <w:t>Conductor</w:t>
      </w:r>
      <w:proofErr w:type="spellEnd"/>
    </w:p>
    <w:p w:rsidR="0036521C" w:rsidRPr="0036521C" w:rsidRDefault="0036521C">
      <w:pPr>
        <w:rPr>
          <w:sz w:val="20"/>
          <w:szCs w:val="20"/>
        </w:rPr>
      </w:pPr>
      <w:r w:rsidRPr="0036521C">
        <w:rPr>
          <w:sz w:val="20"/>
          <w:szCs w:val="20"/>
        </w:rPr>
        <w:t>Univ</w:t>
      </w:r>
      <w:r w:rsidR="00F87F78">
        <w:rPr>
          <w:sz w:val="20"/>
          <w:szCs w:val="20"/>
        </w:rPr>
        <w:t xml:space="preserve">ersity </w:t>
      </w:r>
      <w:proofErr w:type="spellStart"/>
      <w:r w:rsidR="00F87F78">
        <w:rPr>
          <w:sz w:val="20"/>
          <w:szCs w:val="20"/>
        </w:rPr>
        <w:t>of</w:t>
      </w:r>
      <w:proofErr w:type="spellEnd"/>
      <w:r w:rsidR="00F87F78">
        <w:rPr>
          <w:sz w:val="20"/>
          <w:szCs w:val="20"/>
        </w:rPr>
        <w:t xml:space="preserve"> </w:t>
      </w:r>
      <w:proofErr w:type="spellStart"/>
      <w:r w:rsidR="00F87F78">
        <w:rPr>
          <w:sz w:val="20"/>
          <w:szCs w:val="20"/>
        </w:rPr>
        <w:t>Massa</w:t>
      </w:r>
      <w:proofErr w:type="spellEnd"/>
      <w:r w:rsidR="00F87F78">
        <w:rPr>
          <w:sz w:val="20"/>
          <w:szCs w:val="20"/>
        </w:rPr>
        <w:t xml:space="preserve">, Department </w:t>
      </w:r>
      <w:proofErr w:type="spellStart"/>
      <w:r w:rsidR="00F87F78">
        <w:rPr>
          <w:sz w:val="20"/>
          <w:szCs w:val="20"/>
        </w:rPr>
        <w:t>of</w:t>
      </w:r>
      <w:proofErr w:type="spellEnd"/>
      <w:r w:rsidR="00F87F78">
        <w:rPr>
          <w:sz w:val="20"/>
          <w:szCs w:val="20"/>
        </w:rPr>
        <w:t xml:space="preserve"> G</w:t>
      </w:r>
      <w:r w:rsidRPr="0036521C">
        <w:rPr>
          <w:sz w:val="20"/>
          <w:szCs w:val="20"/>
        </w:rPr>
        <w:t>eology</w:t>
      </w:r>
      <w:r w:rsidR="00F87F78">
        <w:rPr>
          <w:sz w:val="20"/>
          <w:szCs w:val="20"/>
        </w:rPr>
        <w:t xml:space="preserve">, </w:t>
      </w:r>
      <w:proofErr w:type="spellStart"/>
      <w:r w:rsidR="00F87F78">
        <w:rPr>
          <w:sz w:val="20"/>
          <w:szCs w:val="20"/>
        </w:rPr>
        <w:t>Volcanic</w:t>
      </w:r>
      <w:proofErr w:type="spellEnd"/>
      <w:r w:rsidR="00F87F78">
        <w:rPr>
          <w:sz w:val="20"/>
          <w:szCs w:val="20"/>
        </w:rPr>
        <w:t xml:space="preserve"> street 20</w:t>
      </w:r>
    </w:p>
    <w:p w:rsidR="0036521C" w:rsidRPr="0036521C" w:rsidRDefault="0036521C" w:rsidP="00A90909">
      <w:pPr>
        <w:spacing w:after="0"/>
        <w:ind w:firstLine="284"/>
        <w:jc w:val="both"/>
        <w:rPr>
          <w:rFonts w:ascii="Bookman Old Style" w:hAnsi="Bookman Old Style"/>
        </w:rPr>
      </w:pPr>
      <w:r w:rsidRPr="0036521C">
        <w:rPr>
          <w:rFonts w:ascii="Bookman Old Style" w:hAnsi="Bookman Old Style"/>
        </w:rPr>
        <w:t>Geologické prostředí, tedy ta část zemské kůry, kterou je člověk schopen využívat, představuje nejen ohromný rezervoár hmoty, ale také zásobárnu energie. Horninami zemské kůry prochází obrovské množství tepla, které je spojeno s vnitřní energií Země. Tato energie vzniká fázovými přeměnami minerálů a také rozpadem radioaktivních prvků. Většina této energie má charakter tepla, které je horninami rozváděno kondukcí. Jiné formy energie jsou v horninách rovněž přítomny a mohou se uvolňovat např. ve formě mechanické energie při zemětřesení.</w:t>
      </w:r>
    </w:p>
    <w:p w:rsidR="00433B22" w:rsidRDefault="00433B22" w:rsidP="00A90909">
      <w:pPr>
        <w:spacing w:after="0"/>
        <w:ind w:firstLine="284"/>
        <w:jc w:val="both"/>
        <w:rPr>
          <w:rFonts w:ascii="Bookman Old Style" w:hAnsi="Bookman Old Style"/>
        </w:rPr>
      </w:pPr>
    </w:p>
    <w:p w:rsidR="00433B22" w:rsidRDefault="00433B22" w:rsidP="00A90909">
      <w:pPr>
        <w:spacing w:after="0"/>
        <w:ind w:firstLine="284"/>
        <w:jc w:val="both"/>
        <w:rPr>
          <w:rFonts w:ascii="Bookman Old Style" w:hAnsi="Bookman Old Style"/>
        </w:rPr>
      </w:pPr>
    </w:p>
    <w:p w:rsidR="00433B22" w:rsidRDefault="00433B22" w:rsidP="00433B22">
      <w:pPr>
        <w:spacing w:after="0"/>
        <w:ind w:firstLine="284"/>
        <w:jc w:val="center"/>
        <w:rPr>
          <w:rFonts w:ascii="Bookman Old Style" w:hAnsi="Bookman Old Style"/>
        </w:rPr>
      </w:pPr>
      <w:r>
        <w:rPr>
          <w:rFonts w:ascii="Times New Roman" w:hAnsi="Times New Roman" w:cs="Times New Roman"/>
          <w:noProof/>
          <w:sz w:val="24"/>
          <w:szCs w:val="24"/>
          <w:lang w:eastAsia="cs-CZ"/>
        </w:rPr>
        <w:drawing>
          <wp:inline distT="0" distB="0" distL="0" distR="0" wp14:anchorId="34836A56" wp14:editId="30932B00">
            <wp:extent cx="4076700" cy="2555115"/>
            <wp:effectExtent l="0" t="0" r="0" b="0"/>
            <wp:docPr id="29" name="Obráze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eotermalni_oblasti.jpg"/>
                    <pic:cNvPicPr/>
                  </pic:nvPicPr>
                  <pic:blipFill>
                    <a:blip r:embed="rId7">
                      <a:extLst>
                        <a:ext uri="{28A0092B-C50C-407E-A947-70E740481C1C}">
                          <a14:useLocalDpi xmlns:a14="http://schemas.microsoft.com/office/drawing/2010/main" val="0"/>
                        </a:ext>
                      </a:extLst>
                    </a:blip>
                    <a:stretch>
                      <a:fillRect/>
                    </a:stretch>
                  </pic:blipFill>
                  <pic:spPr>
                    <a:xfrm>
                      <a:off x="0" y="0"/>
                      <a:ext cx="4094637" cy="2566357"/>
                    </a:xfrm>
                    <a:prstGeom prst="rect">
                      <a:avLst/>
                    </a:prstGeom>
                  </pic:spPr>
                </pic:pic>
              </a:graphicData>
            </a:graphic>
          </wp:inline>
        </w:drawing>
      </w:r>
    </w:p>
    <w:p w:rsidR="00433B22" w:rsidRDefault="00433B22" w:rsidP="00433B22">
      <w:r>
        <w:t xml:space="preserve">Obrázek 1. Mapa tepelného toku pro Českou </w:t>
      </w:r>
      <w:r w:rsidRPr="00433B22">
        <w:rPr>
          <w:rFonts w:cstheme="minorHAnsi"/>
        </w:rPr>
        <w:t>republiku.</w:t>
      </w:r>
      <w:r w:rsidRPr="00433B22">
        <w:rPr>
          <w:rFonts w:cstheme="minorHAnsi"/>
        </w:rPr>
        <w:t xml:space="preserve"> </w:t>
      </w:r>
      <w:r w:rsidRPr="00433B22">
        <w:rPr>
          <w:rFonts w:cstheme="minorHAnsi"/>
          <w:sz w:val="16"/>
          <w:szCs w:val="16"/>
        </w:rPr>
        <w:t>Zdroj:</w:t>
      </w:r>
      <w:r>
        <w:rPr>
          <w:rFonts w:ascii="Times New Roman" w:hAnsi="Times New Roman" w:cs="Times New Roman"/>
          <w:sz w:val="16"/>
          <w:szCs w:val="16"/>
        </w:rPr>
        <w:t xml:space="preserve"> </w:t>
      </w:r>
      <w:hyperlink r:id="rId8" w:history="1">
        <w:r w:rsidRPr="00970205">
          <w:rPr>
            <w:rStyle w:val="Hypertextovodkaz"/>
            <w:rFonts w:ascii="Times New Roman" w:hAnsi="Times New Roman" w:cs="Times New Roman"/>
            <w:sz w:val="16"/>
            <w:szCs w:val="16"/>
          </w:rPr>
          <w:t>https://www.mzp.cz/web/edice.nsf/4BE8C2DA7BE810F6C125725900456E0A/$file/planeta4_obalka_2.pdf</w:t>
        </w:r>
      </w:hyperlink>
    </w:p>
    <w:p w:rsidR="00433B22" w:rsidRDefault="00433B22" w:rsidP="00A90909">
      <w:pPr>
        <w:spacing w:after="0"/>
        <w:ind w:firstLine="284"/>
        <w:jc w:val="both"/>
        <w:rPr>
          <w:rFonts w:ascii="Bookman Old Style" w:hAnsi="Bookman Old Style"/>
        </w:rPr>
      </w:pPr>
    </w:p>
    <w:p w:rsidR="0036521C" w:rsidRDefault="003105A2" w:rsidP="00A90909">
      <w:pPr>
        <w:spacing w:after="0"/>
        <w:ind w:firstLine="284"/>
        <w:jc w:val="both"/>
        <w:rPr>
          <w:rFonts w:ascii="Bookman Old Style" w:hAnsi="Bookman Old Style"/>
        </w:rPr>
      </w:pPr>
      <w:r>
        <w:rPr>
          <w:rFonts w:ascii="Bookman Old Style" w:hAnsi="Bookman Old Style"/>
        </w:rPr>
        <w:t xml:space="preserve">Měrnou tepelnou jednotkou v horninách je zemský tepelný tok, který definuje množství tepla prošlé určitou plochou za jednotku času. Tato proměnná je ale silně závislá na místě, kde ji měříme. Nízké hodnoty obdržíme v oblastech kontinentálních štítů, zatímco relativně velké množství tepla prochází v oblastech s aktivní sopečnou činností nebo v blízkosti velkých zlomů. Představme si žulovou kostku o hraně 1 km, kterou ochladíme o 10 °C. Získáme tím teplo o hodnotě 22 PJ, což bychom </w:t>
      </w:r>
      <w:r w:rsidR="00F87F78">
        <w:rPr>
          <w:rFonts w:ascii="Bookman Old Style" w:hAnsi="Bookman Old Style"/>
        </w:rPr>
        <w:t>obdrželi také</w:t>
      </w:r>
      <w:r>
        <w:rPr>
          <w:rFonts w:ascii="Bookman Old Style" w:hAnsi="Bookman Old Style"/>
        </w:rPr>
        <w:t xml:space="preserve"> spálením 2 miliónů tun hnědého uhlí.</w:t>
      </w:r>
    </w:p>
    <w:p w:rsidR="00A90909" w:rsidRDefault="0032055D" w:rsidP="00A90909">
      <w:pPr>
        <w:spacing w:after="0"/>
        <w:ind w:firstLine="284"/>
        <w:jc w:val="both"/>
        <w:rPr>
          <w:rFonts w:ascii="Bookman Old Style" w:hAnsi="Bookman Old Style"/>
        </w:rPr>
      </w:pPr>
      <w:r w:rsidRPr="0032055D">
        <w:rPr>
          <w:rFonts w:ascii="Bookman Old Style" w:hAnsi="Bookman Old Style"/>
          <w:noProof/>
          <w:lang w:eastAsia="cs-CZ"/>
        </w:rPr>
        <mc:AlternateContent>
          <mc:Choice Requires="wps">
            <w:drawing>
              <wp:anchor distT="45720" distB="45720" distL="114300" distR="114300" simplePos="0" relativeHeight="251659264" behindDoc="0" locked="0" layoutInCell="1" allowOverlap="1">
                <wp:simplePos x="0" y="0"/>
                <wp:positionH relativeFrom="margin">
                  <wp:align>right</wp:align>
                </wp:positionH>
                <wp:positionV relativeFrom="paragraph">
                  <wp:posOffset>3444240</wp:posOffset>
                </wp:positionV>
                <wp:extent cx="5734050" cy="304800"/>
                <wp:effectExtent l="0" t="0" r="0" b="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304800"/>
                        </a:xfrm>
                        <a:prstGeom prst="rect">
                          <a:avLst/>
                        </a:prstGeom>
                        <a:solidFill>
                          <a:srgbClr val="FFFFFF"/>
                        </a:solidFill>
                        <a:ln w="9525">
                          <a:noFill/>
                          <a:miter lim="800000"/>
                          <a:headEnd/>
                          <a:tailEnd/>
                        </a:ln>
                      </wps:spPr>
                      <wps:txbx>
                        <w:txbxContent>
                          <w:p w:rsidR="0032055D" w:rsidRDefault="0032055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ové pole 2" o:spid="_x0000_s1026" type="#_x0000_t202" style="position:absolute;left:0;text-align:left;margin-left:400.3pt;margin-top:271.2pt;width:451.5pt;height:24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" stroked="f">
                <v:textbox>
                  <w:txbxContent>
                    <w:p w:rsidR="0032055D" w:rsidRDefault="0032055D"/>
                  </w:txbxContent>
                </v:textbox>
                <w10:wrap type="square" anchorx="margin"/>
              </v:shape>
            </w:pict>
          </mc:Fallback>
        </mc:AlternateContent>
      </w:r>
      <w:r w:rsidR="005A39EE">
        <w:rPr>
          <w:rFonts w:ascii="Bookman Old Style" w:hAnsi="Bookman Old Style"/>
        </w:rPr>
        <w:t xml:space="preserve">Na zemském povrchu je průměrný tepelný tok 57 </w:t>
      </w:r>
      <w:proofErr w:type="spellStart"/>
      <w:r w:rsidR="005A39EE">
        <w:rPr>
          <w:rFonts w:ascii="Bookman Old Style" w:hAnsi="Bookman Old Style"/>
        </w:rPr>
        <w:t>mW</w:t>
      </w:r>
      <w:proofErr w:type="spellEnd"/>
      <w:r w:rsidR="005A39EE">
        <w:rPr>
          <w:rFonts w:ascii="Bookman Old Style" w:hAnsi="Bookman Old Style"/>
        </w:rPr>
        <w:t>/m</w:t>
      </w:r>
      <w:r w:rsidR="005A39EE">
        <w:rPr>
          <w:rFonts w:ascii="Bookman Old Style" w:hAnsi="Bookman Old Style"/>
          <w:vertAlign w:val="superscript"/>
        </w:rPr>
        <w:t>2</w:t>
      </w:r>
      <w:r w:rsidR="00F87F78">
        <w:rPr>
          <w:rFonts w:ascii="Bookman Old Style" w:hAnsi="Bookman Old Style"/>
        </w:rPr>
        <w:t>.</w:t>
      </w:r>
      <w:r w:rsidR="005A39EE">
        <w:rPr>
          <w:rFonts w:ascii="Bookman Old Style" w:hAnsi="Bookman Old Style"/>
        </w:rPr>
        <w:t xml:space="preserve"> </w:t>
      </w:r>
      <w:r w:rsidR="00F87F78">
        <w:rPr>
          <w:rFonts w:ascii="Bookman Old Style" w:hAnsi="Bookman Old Style"/>
        </w:rPr>
        <w:t>J</w:t>
      </w:r>
      <w:r w:rsidR="005A39EE">
        <w:rPr>
          <w:rFonts w:ascii="Bookman Old Style" w:hAnsi="Bookman Old Style"/>
        </w:rPr>
        <w:t>ak bylo uvedeno, hodnota závisí na typu geologické oblasti. V zemské kůře však funguje významný teplotní gradient, tedy směrem do hloubky narůstá teplota hornin.</w:t>
      </w:r>
      <w:r w:rsidR="00D810F7">
        <w:rPr>
          <w:rFonts w:ascii="Bookman Old Style" w:hAnsi="Bookman Old Style"/>
        </w:rPr>
        <w:t xml:space="preserve"> S každým kilometrem hloubky se teplota zvýší o 15-40 °C, takže v hloubce 3 km může být teplota kolem 90</w:t>
      </w:r>
      <w:r w:rsidR="00F87F78">
        <w:rPr>
          <w:rFonts w:ascii="Bookman Old Style" w:hAnsi="Bookman Old Style"/>
        </w:rPr>
        <w:t> </w:t>
      </w:r>
      <w:r w:rsidR="00D810F7">
        <w:rPr>
          <w:rFonts w:ascii="Bookman Old Style" w:hAnsi="Bookman Old Style"/>
        </w:rPr>
        <w:t>°C, ale ve vulkanicky aktivních oblastech to může být i 120 °C. A to už představuje využitelný zdroj energie, ke kterému se můžeme dostat pomocí geologického vrtu.</w:t>
      </w:r>
      <w:r w:rsidR="00FB74B1">
        <w:rPr>
          <w:rFonts w:ascii="Bookman Old Style" w:hAnsi="Bookman Old Style"/>
        </w:rPr>
        <w:t xml:space="preserve"> </w:t>
      </w:r>
    </w:p>
    <w:p w:rsidR="00D97E5B" w:rsidRDefault="00D97E5B" w:rsidP="00A90909">
      <w:pPr>
        <w:spacing w:after="0"/>
        <w:ind w:firstLine="284"/>
        <w:jc w:val="both"/>
        <w:rPr>
          <w:rFonts w:ascii="Bookman Old Style" w:hAnsi="Bookman Old Style"/>
        </w:rPr>
      </w:pPr>
    </w:p>
    <w:p w:rsidR="00D97E5B" w:rsidRDefault="00D97E5B" w:rsidP="00A90909">
      <w:pPr>
        <w:spacing w:after="0"/>
        <w:ind w:firstLine="284"/>
        <w:jc w:val="both"/>
        <w:rPr>
          <w:rFonts w:ascii="Bookman Old Style" w:hAnsi="Bookman Old Style"/>
        </w:rPr>
      </w:pPr>
    </w:p>
    <w:p w:rsidR="00A90909" w:rsidRDefault="00A90909" w:rsidP="00A90909">
      <w:pPr>
        <w:pBdr>
          <w:bottom w:val="single" w:sz="4" w:space="1" w:color="auto"/>
        </w:pBdr>
        <w:jc w:val="right"/>
      </w:pPr>
      <w:r w:rsidRPr="0036521C">
        <w:rPr>
          <w:caps/>
        </w:rPr>
        <w:t>Applied geology</w:t>
      </w:r>
      <w:r>
        <w:t xml:space="preserve">, 2015, </w:t>
      </w:r>
      <w:proofErr w:type="spellStart"/>
      <w:r>
        <w:t>Abstracts</w:t>
      </w:r>
      <w:proofErr w:type="spellEnd"/>
      <w:r>
        <w:t>, vol. 3, p. 25-26</w:t>
      </w:r>
    </w:p>
    <w:p w:rsidR="005A39EE" w:rsidRDefault="00A90909" w:rsidP="00A90909">
      <w:pPr>
        <w:spacing w:after="0"/>
        <w:jc w:val="both"/>
        <w:rPr>
          <w:rFonts w:ascii="Bookman Old Style" w:hAnsi="Bookman Old Style"/>
        </w:rPr>
      </w:pPr>
      <w:r>
        <w:rPr>
          <w:rFonts w:ascii="Bookman Old Style" w:hAnsi="Bookman Old Style"/>
        </w:rPr>
        <w:br/>
      </w:r>
      <w:r w:rsidR="00FB74B1">
        <w:rPr>
          <w:rFonts w:ascii="Bookman Old Style" w:hAnsi="Bookman Old Style"/>
        </w:rPr>
        <w:t>Jedná se vlastně o gigantický přírodní horkovodní systém, který je bezodpadním zdrojem energie.</w:t>
      </w:r>
    </w:p>
    <w:p w:rsidR="00814F7C" w:rsidRDefault="00814F7C" w:rsidP="00A90909">
      <w:pPr>
        <w:spacing w:after="0"/>
        <w:ind w:firstLine="284"/>
        <w:jc w:val="both"/>
        <w:rPr>
          <w:rFonts w:ascii="Bookman Old Style" w:hAnsi="Bookman Old Style"/>
        </w:rPr>
      </w:pPr>
      <w:r>
        <w:rPr>
          <w:rFonts w:ascii="Bookman Old Style" w:hAnsi="Bookman Old Style"/>
        </w:rPr>
        <w:t>Celý princip je poměrně jednoduchý. Jedním vrtem přivedeme do vrtu vodu, která převezme teplo od okolních hornin, a jiným vrtem ji můžeme vyčerpat na povrch. Tuto vodu nebo páru (podle teploty a tlaku) pak snadno využijeme k vytápění nebo je možné pomocí páry roztáčet turbínu</w:t>
      </w:r>
      <w:r w:rsidR="00902F0F">
        <w:rPr>
          <w:rFonts w:ascii="Bookman Old Style" w:hAnsi="Bookman Old Style"/>
        </w:rPr>
        <w:t xml:space="preserve"> a tím vyrábět elektrický proud. Zkondenzovaná a ochlazená voda se pak vrací znovu do celého cyklu.</w:t>
      </w:r>
    </w:p>
    <w:p w:rsidR="009E08E1" w:rsidRDefault="009E08E1" w:rsidP="00A90909">
      <w:pPr>
        <w:spacing w:after="0"/>
        <w:ind w:firstLine="284"/>
        <w:jc w:val="both"/>
        <w:rPr>
          <w:rFonts w:ascii="Bookman Old Style" w:hAnsi="Bookman Old Style"/>
        </w:rPr>
      </w:pPr>
      <w:r w:rsidRPr="0032055D">
        <w:rPr>
          <w:rFonts w:ascii="Bookman Old Style" w:hAnsi="Bookman Old Style"/>
          <w:noProof/>
          <w:lang w:eastAsia="cs-CZ"/>
        </w:rPr>
        <mc:AlternateContent>
          <mc:Choice Requires="wps">
            <w:drawing>
              <wp:anchor distT="45720" distB="45720" distL="114300" distR="114300" simplePos="0" relativeHeight="251658240" behindDoc="0" locked="0" layoutInCell="1" allowOverlap="1" wp14:anchorId="1DAC695A" wp14:editId="7A5252C5">
                <wp:simplePos x="0" y="0"/>
                <wp:positionH relativeFrom="margin">
                  <wp:posOffset>-60325</wp:posOffset>
                </wp:positionH>
                <wp:positionV relativeFrom="paragraph">
                  <wp:posOffset>3044190</wp:posOffset>
                </wp:positionV>
                <wp:extent cx="5734050" cy="467360"/>
                <wp:effectExtent l="0" t="0" r="0" b="8890"/>
                <wp:wrapSquare wrapText="bothSides"/>
                <wp:docPr id="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467360"/>
                        </a:xfrm>
                        <a:prstGeom prst="rect">
                          <a:avLst/>
                        </a:prstGeom>
                        <a:solidFill>
                          <a:srgbClr val="FFFFFF"/>
                        </a:solidFill>
                        <a:ln w="9525">
                          <a:noFill/>
                          <a:miter lim="800000"/>
                          <a:headEnd/>
                          <a:tailEnd/>
                        </a:ln>
                      </wps:spPr>
                      <wps:txbx>
                        <w:txbxContent>
                          <w:p w:rsidR="009E08E1" w:rsidRPr="00A52AE4" w:rsidRDefault="00A90909" w:rsidP="009E08E1">
                            <w:pPr>
                              <w:rPr>
                                <w:rFonts w:ascii="Times New Roman" w:hAnsi="Times New Roman" w:cs="Times New Roman"/>
                                <w:sz w:val="16"/>
                                <w:szCs w:val="16"/>
                              </w:rPr>
                            </w:pPr>
                            <w:r>
                              <w:t>Ob</w:t>
                            </w:r>
                            <w:bookmarkStart w:id="0" w:name="_GoBack"/>
                            <w:r>
                              <w:t>rázek 2. Schéma výroby elektrické ener</w:t>
                            </w:r>
                            <w:r w:rsidR="00D46D89">
                              <w:t>gie pomocí geotermální energie.</w:t>
                            </w:r>
                            <w:r w:rsidR="009E08E1" w:rsidRPr="009E08E1">
                              <w:rPr>
                                <w:rFonts w:ascii="Times New Roman" w:hAnsi="Times New Roman" w:cs="Times New Roman"/>
                                <w:sz w:val="16"/>
                                <w:szCs w:val="16"/>
                              </w:rPr>
                              <w:t xml:space="preserve"> </w:t>
                            </w:r>
                            <w:r w:rsidR="009E08E1">
                              <w:rPr>
                                <w:rFonts w:ascii="Times New Roman" w:hAnsi="Times New Roman" w:cs="Times New Roman"/>
                                <w:sz w:val="16"/>
                                <w:szCs w:val="16"/>
                              </w:rPr>
                              <w:t xml:space="preserve">Zdroj: </w:t>
                            </w:r>
                            <w:r w:rsidR="009E08E1" w:rsidRPr="0036112F">
                              <w:rPr>
                                <w:rStyle w:val="Hypertextovodkaz"/>
                                <w:rFonts w:ascii="Times New Roman" w:hAnsi="Times New Roman" w:cs="Times New Roman"/>
                                <w:sz w:val="16"/>
                                <w:szCs w:val="16"/>
                              </w:rPr>
                              <w:t>https://player.slideplayer.cz/11/3168746/data/images/img18.gif</w:t>
                            </w:r>
                          </w:p>
                          <w:bookmarkEnd w:id="0"/>
                          <w:p w:rsidR="00A90909" w:rsidRDefault="00A90909" w:rsidP="00A9090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AC695A" id="_x0000_s1027" type="#_x0000_t202" style="position:absolute;left:0;text-align:left;margin-left:-4.75pt;margin-top:239.7pt;width:451.5pt;height:36.8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" stroked="f">
                <v:textbox>
                  <w:txbxContent>
                    <w:p w:rsidR="009E08E1" w:rsidRPr="00A52AE4" w:rsidRDefault="00A90909" w:rsidP="009E08E1">
                      <w:pPr>
                        <w:rPr>
                          <w:rFonts w:ascii="Times New Roman" w:hAnsi="Times New Roman" w:cs="Times New Roman"/>
                          <w:sz w:val="16"/>
                          <w:szCs w:val="16"/>
                        </w:rPr>
                      </w:pPr>
                      <w:r>
                        <w:t>Ob</w:t>
                      </w:r>
                      <w:bookmarkStart w:id="1" w:name="_GoBack"/>
                      <w:r>
                        <w:t>rázek 2. Schéma výroby elektrické ener</w:t>
                      </w:r>
                      <w:r w:rsidR="00D46D89">
                        <w:t>gie pomocí geotermální energie.</w:t>
                      </w:r>
                      <w:r w:rsidR="009E08E1" w:rsidRPr="009E08E1">
                        <w:rPr>
                          <w:rFonts w:ascii="Times New Roman" w:hAnsi="Times New Roman" w:cs="Times New Roman"/>
                          <w:sz w:val="16"/>
                          <w:szCs w:val="16"/>
                        </w:rPr>
                        <w:t xml:space="preserve"> </w:t>
                      </w:r>
                      <w:r w:rsidR="009E08E1">
                        <w:rPr>
                          <w:rFonts w:ascii="Times New Roman" w:hAnsi="Times New Roman" w:cs="Times New Roman"/>
                          <w:sz w:val="16"/>
                          <w:szCs w:val="16"/>
                        </w:rPr>
                        <w:t xml:space="preserve">Zdroj: </w:t>
                      </w:r>
                      <w:r w:rsidR="009E08E1" w:rsidRPr="0036112F">
                        <w:rPr>
                          <w:rStyle w:val="Hypertextovodkaz"/>
                          <w:rFonts w:ascii="Times New Roman" w:hAnsi="Times New Roman" w:cs="Times New Roman"/>
                          <w:sz w:val="16"/>
                          <w:szCs w:val="16"/>
                        </w:rPr>
                        <w:t>https://player.slideplayer.cz/11/3168746/data/images/img18.gif</w:t>
                      </w:r>
                    </w:p>
                    <w:bookmarkEnd w:id="1"/>
                    <w:p w:rsidR="00A90909" w:rsidRDefault="00A90909" w:rsidP="00A90909"/>
                  </w:txbxContent>
                </v:textbox>
                <w10:wrap type="square" anchorx="margin"/>
              </v:shape>
            </w:pict>
          </mc:Fallback>
        </mc:AlternateContent>
      </w:r>
      <w:r>
        <w:rPr>
          <w:noProof/>
          <w:lang w:eastAsia="cs-CZ"/>
        </w:rPr>
        <w:drawing>
          <wp:inline distT="0" distB="0" distL="0" distR="0" wp14:anchorId="705468F9" wp14:editId="714BFA50">
            <wp:extent cx="4763386" cy="2863857"/>
            <wp:effectExtent l="0" t="0" r="0" b="0"/>
            <wp:docPr id="7" name="Obrázek 7" descr="https://player.slideplayer.cz/11/3168746/data/images/img1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layer.slideplayer.cz/11/3168746/data/images/img18.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4122" cy="2864300"/>
                    </a:xfrm>
                    <a:prstGeom prst="rect">
                      <a:avLst/>
                    </a:prstGeom>
                    <a:noFill/>
                    <a:ln>
                      <a:noFill/>
                    </a:ln>
                  </pic:spPr>
                </pic:pic>
              </a:graphicData>
            </a:graphic>
          </wp:inline>
        </w:drawing>
      </w:r>
    </w:p>
    <w:p w:rsidR="008249AF" w:rsidRDefault="0032055D" w:rsidP="00A90909">
      <w:pPr>
        <w:spacing w:after="0"/>
        <w:ind w:firstLine="284"/>
        <w:jc w:val="both"/>
        <w:rPr>
          <w:rFonts w:ascii="Bookman Old Style" w:hAnsi="Bookman Old Style"/>
        </w:rPr>
      </w:pPr>
      <w:r>
        <w:rPr>
          <w:rFonts w:ascii="Bookman Old Style" w:hAnsi="Bookman Old Style"/>
        </w:rPr>
        <w:t xml:space="preserve">Princip je sice jednoduchý, ale technické provedení je výrazně komplikovanější. Prvním předpokladem je zvýšený tepelný tok v dané oblasti – jednodušší a levnější je vrtat mělčí vrty a přitom dosáhnout dostatečné teploty horninového masivu – ideálně kolem </w:t>
      </w:r>
      <w:r w:rsidR="00F87F78">
        <w:rPr>
          <w:rFonts w:ascii="Bookman Old Style" w:hAnsi="Bookman Old Style"/>
        </w:rPr>
        <w:t>160–</w:t>
      </w:r>
      <w:r>
        <w:rPr>
          <w:rFonts w:ascii="Bookman Old Style" w:hAnsi="Bookman Old Style"/>
        </w:rPr>
        <w:t xml:space="preserve">200 °C. </w:t>
      </w:r>
      <w:r w:rsidR="00216B2A">
        <w:rPr>
          <w:rFonts w:ascii="Bookman Old Style" w:hAnsi="Bookman Old Style"/>
        </w:rPr>
        <w:t xml:space="preserve">Voda, která se poté vtlačuje do země se nejen ohřívá, ale také silně mineralizuje, </w:t>
      </w:r>
      <w:proofErr w:type="gramStart"/>
      <w:r w:rsidR="00216B2A">
        <w:rPr>
          <w:rFonts w:ascii="Bookman Old Style" w:hAnsi="Bookman Old Style"/>
        </w:rPr>
        <w:t>tzn. rozpouští</w:t>
      </w:r>
      <w:proofErr w:type="gramEnd"/>
      <w:r w:rsidR="00216B2A">
        <w:rPr>
          <w:rFonts w:ascii="Bookman Old Style" w:hAnsi="Bookman Old Style"/>
        </w:rPr>
        <w:t xml:space="preserve"> se v ní řada látek. Při poklesu teploty na povrchu se pak tyto rozpuštěné látky vysráží a silně tak zanášejí celý systém. </w:t>
      </w:r>
    </w:p>
    <w:p w:rsidR="008249AF" w:rsidRDefault="00216B2A" w:rsidP="00A90909">
      <w:pPr>
        <w:spacing w:after="0"/>
        <w:ind w:firstLine="284"/>
        <w:jc w:val="both"/>
        <w:rPr>
          <w:rFonts w:ascii="Bookman Old Style" w:hAnsi="Bookman Old Style"/>
        </w:rPr>
      </w:pPr>
      <w:r>
        <w:rPr>
          <w:rFonts w:ascii="Bookman Old Style" w:hAnsi="Bookman Old Style"/>
        </w:rPr>
        <w:t xml:space="preserve">V současnosti se používá několik technologií. </w:t>
      </w:r>
      <w:r w:rsidR="008249AF" w:rsidRPr="008249AF">
        <w:rPr>
          <w:rFonts w:ascii="Bookman Old Style" w:hAnsi="Bookman Old Style"/>
        </w:rPr>
        <w:t xml:space="preserve">Zásoby horké páry a termální vody se </w:t>
      </w:r>
      <w:r w:rsidR="008249AF">
        <w:rPr>
          <w:rFonts w:ascii="Bookman Old Style" w:hAnsi="Bookman Old Style"/>
        </w:rPr>
        <w:t xml:space="preserve">z hornin </w:t>
      </w:r>
      <w:r w:rsidR="008249AF" w:rsidRPr="008249AF">
        <w:rPr>
          <w:rFonts w:ascii="Bookman Old Style" w:hAnsi="Bookman Old Style"/>
        </w:rPr>
        <w:t>obvykle čerpají pomocí vrtů a lze je využít přímo k vytápění a výrobě elektrické energie. Pokud je zásoba teplé vody v podzemí malá, je nutné o</w:t>
      </w:r>
      <w:r w:rsidR="008249AF">
        <w:rPr>
          <w:rFonts w:ascii="Bookman Old Style" w:hAnsi="Bookman Old Style"/>
        </w:rPr>
        <w:t xml:space="preserve">chlazenou vodu přivádět nazpět. </w:t>
      </w:r>
      <w:r w:rsidR="008249AF" w:rsidRPr="008249AF">
        <w:rPr>
          <w:rFonts w:ascii="Bookman Old Style" w:hAnsi="Bookman Old Style"/>
        </w:rPr>
        <w:t>Systém HDR</w:t>
      </w:r>
      <w:r w:rsidR="008249AF">
        <w:rPr>
          <w:rFonts w:ascii="Bookman Old Style" w:hAnsi="Bookman Old Style"/>
        </w:rPr>
        <w:t xml:space="preserve"> (Hot </w:t>
      </w:r>
      <w:proofErr w:type="spellStart"/>
      <w:r w:rsidR="008249AF">
        <w:rPr>
          <w:rFonts w:ascii="Bookman Old Style" w:hAnsi="Bookman Old Style"/>
        </w:rPr>
        <w:t>dray</w:t>
      </w:r>
      <w:proofErr w:type="spellEnd"/>
      <w:r w:rsidR="008249AF">
        <w:rPr>
          <w:rFonts w:ascii="Bookman Old Style" w:hAnsi="Bookman Old Style"/>
        </w:rPr>
        <w:t xml:space="preserve"> rock)</w:t>
      </w:r>
      <w:r w:rsidR="008249AF" w:rsidRPr="008249AF">
        <w:rPr>
          <w:rFonts w:ascii="Bookman Old Style" w:hAnsi="Bookman Old Style"/>
        </w:rPr>
        <w:t xml:space="preserve"> vychází z předpokladu, že v určité hloubce pod povrchem existují zásoby horkých hornin, které jsou prakticky suché a nepropustné pro kapaliny. Vhodnými procesy lze tyto horniny přeměnit na tepelný výměník, do kterého budeme vhánět studenou vodu a odebírat vodu zahřátou. Povrchovým výměníkem se pak za nízkého tlaku přeměňuje voda na páru použitelnou pro výrobu elektrické energie. </w:t>
      </w:r>
    </w:p>
    <w:p w:rsidR="00A90909" w:rsidRDefault="00A90909" w:rsidP="00A90909">
      <w:pPr>
        <w:spacing w:after="0"/>
        <w:ind w:firstLine="284"/>
        <w:jc w:val="both"/>
        <w:rPr>
          <w:rFonts w:ascii="Bookman Old Style" w:hAnsi="Bookman Old Style"/>
        </w:rPr>
      </w:pPr>
      <w:r>
        <w:rPr>
          <w:rFonts w:ascii="Bookman Old Style" w:hAnsi="Bookman Old Style"/>
        </w:rPr>
        <w:t>Geotermální energie není zatím příliš rozšířeným zdrojem elektrické energie, i když v některých vhodných oblastech se intenzivně rozvíjí (Island, Kalifornie, Japonsko).</w:t>
      </w:r>
    </w:p>
    <w:p w:rsidR="008249AF" w:rsidRDefault="008249AF" w:rsidP="0036521C">
      <w:pPr>
        <w:ind w:firstLine="284"/>
        <w:jc w:val="both"/>
        <w:rPr>
          <w:rFonts w:ascii="Bookman Old Style" w:hAnsi="Bookman Old Style"/>
        </w:rPr>
      </w:pPr>
    </w:p>
    <w:p w:rsidR="008249AF" w:rsidRPr="005A39EE" w:rsidRDefault="008249AF" w:rsidP="0036521C">
      <w:pPr>
        <w:ind w:firstLine="284"/>
        <w:jc w:val="both"/>
        <w:rPr>
          <w:rFonts w:ascii="Bookman Old Style" w:hAnsi="Bookman Old Style"/>
        </w:rPr>
      </w:pPr>
    </w:p>
    <w:p w:rsidR="0036521C" w:rsidRPr="009A0046" w:rsidRDefault="009A0046">
      <w:pPr>
        <w:rPr>
          <w:rFonts w:ascii="Verdana" w:hAnsi="Verdana"/>
          <w:u w:val="single"/>
        </w:rPr>
      </w:pPr>
      <w:r w:rsidRPr="009A0046">
        <w:rPr>
          <w:rFonts w:ascii="Verdana" w:hAnsi="Verdana"/>
          <w:u w:val="single"/>
        </w:rPr>
        <w:t>BIS (bankovní interní směrnice), Rozvojová energetická banka, číslo 3/2018</w:t>
      </w:r>
    </w:p>
    <w:p w:rsidR="0036521C" w:rsidRPr="009A0046" w:rsidRDefault="009A0046">
      <w:pPr>
        <w:rPr>
          <w:rFonts w:ascii="Arial Black" w:hAnsi="Arial Black"/>
        </w:rPr>
      </w:pPr>
      <w:r w:rsidRPr="009A0046">
        <w:rPr>
          <w:rFonts w:ascii="Arial Black" w:hAnsi="Arial Black"/>
        </w:rPr>
        <w:t>Směrnice číslo 3 (2018) vydan</w:t>
      </w:r>
      <w:r>
        <w:rPr>
          <w:rFonts w:ascii="Arial Black" w:hAnsi="Arial Black"/>
        </w:rPr>
        <w:t>á</w:t>
      </w:r>
      <w:r w:rsidRPr="009A0046">
        <w:rPr>
          <w:rFonts w:ascii="Arial Black" w:hAnsi="Arial Black"/>
        </w:rPr>
        <w:t xml:space="preserve"> generálním manažerem banky: Podpůrná směrnice při poskytování úvěrů pro investice do geotermálních elektráren</w:t>
      </w:r>
    </w:p>
    <w:p w:rsidR="009A0046" w:rsidRDefault="009A0046">
      <w:pPr>
        <w:sectPr w:rsidR="009A0046">
          <w:footerReference w:type="default" r:id="rId10"/>
          <w:pgSz w:w="11906" w:h="16838"/>
          <w:pgMar w:top="1417" w:right="1417" w:bottom="1417" w:left="1417" w:header="708" w:footer="708" w:gutter="0"/>
          <w:cols w:space="708"/>
          <w:docGrid w:linePitch="360"/>
        </w:sectPr>
      </w:pPr>
    </w:p>
    <w:p w:rsidR="009A0046" w:rsidRPr="00191BC9" w:rsidRDefault="009A0046">
      <w:pPr>
        <w:rPr>
          <w:sz w:val="24"/>
          <w:szCs w:val="24"/>
        </w:rPr>
      </w:pPr>
      <w:r w:rsidRPr="00191BC9">
        <w:rPr>
          <w:sz w:val="24"/>
          <w:szCs w:val="24"/>
        </w:rPr>
        <w:t>S předpokládaným rozvojem výstavby geotermálních elektráren je vydána tato směrnice, která má podpořit správnou strategii poskytování komerčních úvěrů právnickým osobám. Uvedena jsou základní kritéria pro posouzení rizikovosti a návratnosti úvěru.</w:t>
      </w:r>
    </w:p>
    <w:p w:rsidR="009A0046" w:rsidRPr="00191BC9" w:rsidRDefault="009A0046">
      <w:pPr>
        <w:rPr>
          <w:sz w:val="24"/>
          <w:szCs w:val="24"/>
        </w:rPr>
      </w:pPr>
      <w:r w:rsidRPr="00191BC9">
        <w:rPr>
          <w:sz w:val="24"/>
          <w:szCs w:val="24"/>
        </w:rPr>
        <w:t>V nejbližších letech lze očekávat snahu investorů o budování moderních zdrojů elektrické energie, které neprodukují škodlivé plyny ani kapaliny, k nimž bezesporu patří geotermální elektrárny. Vše zapadá do konceptu EU o snižování skleníkových plynů v ovzduší. Lze predikovat, že ve vhodných oblastech bude geotermální energie upřednostňována před slunečními a větrnými zdroji, vzhledem ke stabilitě jejího výkonu.</w:t>
      </w:r>
      <w:r w:rsidR="006E1CDC" w:rsidRPr="00191BC9">
        <w:rPr>
          <w:sz w:val="24"/>
          <w:szCs w:val="24"/>
        </w:rPr>
        <w:t xml:space="preserve"> Přírodní zdroj energie v zemské kůře je prakticky nevyčerpatelný a odběr může být </w:t>
      </w:r>
      <w:r w:rsidR="007538C2">
        <w:rPr>
          <w:sz w:val="24"/>
          <w:szCs w:val="24"/>
        </w:rPr>
        <w:t>téměř</w:t>
      </w:r>
      <w:r w:rsidR="006E1CDC" w:rsidRPr="00191BC9">
        <w:rPr>
          <w:sz w:val="24"/>
          <w:szCs w:val="24"/>
        </w:rPr>
        <w:t xml:space="preserve"> nepřetržitý, pouze s ohledem na údržbu technologických zařízení.</w:t>
      </w:r>
    </w:p>
    <w:p w:rsidR="00E015B5" w:rsidRPr="00191BC9" w:rsidRDefault="006E1CDC">
      <w:pPr>
        <w:rPr>
          <w:sz w:val="24"/>
          <w:szCs w:val="24"/>
        </w:rPr>
      </w:pPr>
      <w:r w:rsidRPr="00191BC9">
        <w:rPr>
          <w:sz w:val="24"/>
          <w:szCs w:val="24"/>
        </w:rPr>
        <w:t>S určitými nevýhodami je ovšem potřeba počítat i u tohoto zdroje. Předně je vázán pouze na určité oblasti, což vyžaduje důkladný geologický průzkum jako vstupní investici s teoretickou možností její nenávratnosti.</w:t>
      </w:r>
      <w:r w:rsidR="00A21C26" w:rsidRPr="00191BC9">
        <w:rPr>
          <w:sz w:val="24"/>
          <w:szCs w:val="24"/>
        </w:rPr>
        <w:t xml:space="preserve"> Rovněž vstupní investice na vybudování celé technologie je velmi vysoká, čímž se prodlužuje její návratnost. </w:t>
      </w:r>
      <w:r w:rsidR="007538C2">
        <w:rPr>
          <w:sz w:val="24"/>
          <w:szCs w:val="24"/>
        </w:rPr>
        <w:t>Existuje</w:t>
      </w:r>
      <w:r w:rsidR="00A21C26" w:rsidRPr="00191BC9">
        <w:rPr>
          <w:sz w:val="24"/>
          <w:szCs w:val="24"/>
        </w:rPr>
        <w:t xml:space="preserve"> zde rovněž malé riziko, že geologické práce způsobí drobné zemětřesné otřesy a případné škody s nimi spojené půjdou k úhradě investora.</w:t>
      </w:r>
    </w:p>
    <w:p w:rsidR="00191BC9" w:rsidRPr="00191BC9" w:rsidRDefault="00E015B5">
      <w:pPr>
        <w:rPr>
          <w:sz w:val="24"/>
          <w:szCs w:val="24"/>
        </w:rPr>
      </w:pPr>
      <w:r w:rsidRPr="00191BC9">
        <w:rPr>
          <w:sz w:val="24"/>
          <w:szCs w:val="24"/>
        </w:rPr>
        <w:t>Pro posouzení rizika úvěru právnické osobě můžeme vycházet z finančního modelu pro vybudování geotermální elektrárny ve velmi příznivých geologických podmínkách, kde v hloubce 3</w:t>
      </w:r>
      <w:r w:rsidR="007538C2">
        <w:rPr>
          <w:sz w:val="24"/>
          <w:szCs w:val="24"/>
        </w:rPr>
        <w:t> </w:t>
      </w:r>
      <w:r w:rsidRPr="00191BC9">
        <w:rPr>
          <w:sz w:val="24"/>
          <w:szCs w:val="24"/>
        </w:rPr>
        <w:t xml:space="preserve">km je předpokládaná teplota 180 °C. Projektovaný maximální výkon elektrárny představuje 5 MW. Předpokládaná doba roční výroby (odečten čas na nutný servis a údržbu technologií) je 7 500 hodin, což představuje 37 </w:t>
      </w:r>
      <w:proofErr w:type="spellStart"/>
      <w:r w:rsidRPr="00191BC9">
        <w:rPr>
          <w:sz w:val="24"/>
          <w:szCs w:val="24"/>
        </w:rPr>
        <w:t>GWh</w:t>
      </w:r>
      <w:proofErr w:type="spellEnd"/>
      <w:r w:rsidRPr="00191BC9">
        <w:rPr>
          <w:sz w:val="24"/>
          <w:szCs w:val="24"/>
        </w:rPr>
        <w:t xml:space="preserve"> dodané elektrické energie za rok</w:t>
      </w:r>
      <w:r w:rsidR="007538C2">
        <w:rPr>
          <w:sz w:val="24"/>
          <w:szCs w:val="24"/>
        </w:rPr>
        <w:t>.</w:t>
      </w:r>
      <w:r w:rsidRPr="00191BC9">
        <w:rPr>
          <w:sz w:val="24"/>
          <w:szCs w:val="24"/>
        </w:rPr>
        <w:t xml:space="preserve"> </w:t>
      </w:r>
      <w:r w:rsidR="007538C2">
        <w:rPr>
          <w:sz w:val="24"/>
          <w:szCs w:val="24"/>
        </w:rPr>
        <w:t>P</w:t>
      </w:r>
      <w:r w:rsidRPr="00191BC9">
        <w:rPr>
          <w:sz w:val="24"/>
          <w:szCs w:val="24"/>
        </w:rPr>
        <w:t xml:space="preserve">ři dohodnuté výkupní ceně </w:t>
      </w:r>
      <w:r w:rsidR="00191BC9" w:rsidRPr="00191BC9">
        <w:rPr>
          <w:sz w:val="24"/>
          <w:szCs w:val="24"/>
        </w:rPr>
        <w:t>2,7</w:t>
      </w:r>
      <w:r w:rsidRPr="00191BC9">
        <w:rPr>
          <w:sz w:val="24"/>
          <w:szCs w:val="24"/>
        </w:rPr>
        <w:t xml:space="preserve"> Kč za 1 kWh obnáší zisk 1</w:t>
      </w:r>
      <w:r w:rsidR="00191BC9" w:rsidRPr="00191BC9">
        <w:rPr>
          <w:sz w:val="24"/>
          <w:szCs w:val="24"/>
        </w:rPr>
        <w:t>0</w:t>
      </w:r>
      <w:r w:rsidRPr="00191BC9">
        <w:rPr>
          <w:sz w:val="24"/>
          <w:szCs w:val="24"/>
        </w:rPr>
        <w:t>0 mil. Kč. Roční náklady na provoz představují 20</w:t>
      </w:r>
      <w:r w:rsidR="007538C2">
        <w:rPr>
          <w:sz w:val="24"/>
          <w:szCs w:val="24"/>
        </w:rPr>
        <w:t> </w:t>
      </w:r>
      <w:r w:rsidRPr="00191BC9">
        <w:rPr>
          <w:sz w:val="24"/>
          <w:szCs w:val="24"/>
        </w:rPr>
        <w:t xml:space="preserve">mil. Kč. </w:t>
      </w:r>
    </w:p>
    <w:p w:rsidR="00191BC9" w:rsidRPr="00191BC9" w:rsidRDefault="00191BC9">
      <w:pPr>
        <w:rPr>
          <w:sz w:val="24"/>
          <w:szCs w:val="24"/>
        </w:rPr>
      </w:pPr>
      <w:r w:rsidRPr="00191BC9">
        <w:rPr>
          <w:sz w:val="24"/>
          <w:szCs w:val="24"/>
        </w:rPr>
        <w:t>Celková investice na vybudování objektu zahrnuje následující položky: geologický průzkum 50 mil. Kč, 4 hluboké vrty</w:t>
      </w:r>
      <w:r w:rsidR="007538C2">
        <w:rPr>
          <w:sz w:val="24"/>
          <w:szCs w:val="24"/>
        </w:rPr>
        <w:t xml:space="preserve"> (hloubka 3 km)</w:t>
      </w:r>
      <w:r w:rsidRPr="00191BC9">
        <w:rPr>
          <w:sz w:val="24"/>
          <w:szCs w:val="24"/>
        </w:rPr>
        <w:t xml:space="preserve"> 130 mil. Kč a vlastní zařízení elektrárny včetně elektrického připojení a zázemí 600 mil. Kč. </w:t>
      </w:r>
    </w:p>
    <w:p w:rsidR="00191BC9" w:rsidRPr="00191BC9" w:rsidRDefault="00191BC9">
      <w:pPr>
        <w:rPr>
          <w:sz w:val="24"/>
          <w:szCs w:val="24"/>
        </w:rPr>
      </w:pPr>
      <w:r w:rsidRPr="00191BC9">
        <w:rPr>
          <w:sz w:val="24"/>
          <w:szCs w:val="24"/>
        </w:rPr>
        <w:t>Z uvedených hodnot vyplývá, že návratnost celé investice se pohybuje v horizontu 10 let. V případě dodatečných investicí lze prodávat i odpadní teplo z výroby k vytápění bytových jednotek.</w:t>
      </w:r>
    </w:p>
    <w:p w:rsidR="006E1CDC" w:rsidRDefault="00191BC9">
      <w:pPr>
        <w:sectPr w:rsidR="006E1CDC" w:rsidSect="009A0046">
          <w:type w:val="continuous"/>
          <w:pgSz w:w="11906" w:h="16838"/>
          <w:pgMar w:top="1417" w:right="1417" w:bottom="1417" w:left="1417" w:header="708" w:footer="708" w:gutter="0"/>
          <w:cols w:num="2" w:space="708"/>
          <w:docGrid w:linePitch="360"/>
        </w:sectPr>
      </w:pPr>
      <w:r w:rsidRPr="00191BC9">
        <w:rPr>
          <w:sz w:val="24"/>
          <w:szCs w:val="24"/>
        </w:rPr>
        <w:t>Vedení banky je příznivě nakloněno k poskytování úvěru na tento typ investic za těchto podmínek: investor disponuje 20</w:t>
      </w:r>
      <w:r w:rsidR="007538C2">
        <w:rPr>
          <w:sz w:val="24"/>
          <w:szCs w:val="24"/>
        </w:rPr>
        <w:t> </w:t>
      </w:r>
      <w:r w:rsidRPr="00191BC9">
        <w:rPr>
          <w:sz w:val="24"/>
          <w:szCs w:val="24"/>
        </w:rPr>
        <w:t>% potřebných finančních prostředků, banka řádně zhodnotí všechna rizika a návratnost vlastní investice nepřesáhne 12 let. Toto doporučení je pro zaměstnance závazné.</w:t>
      </w:r>
      <w:r w:rsidR="00E015B5">
        <w:t xml:space="preserve">  </w:t>
      </w:r>
      <w:r w:rsidR="006E1CDC">
        <w:t xml:space="preserve"> </w:t>
      </w:r>
    </w:p>
    <w:p w:rsidR="0036521C" w:rsidRDefault="0036521C"/>
    <w:p w:rsidR="0036521C" w:rsidRDefault="00191BC9" w:rsidP="00191BC9">
      <w:pPr>
        <w:jc w:val="right"/>
      </w:pPr>
      <w:r>
        <w:t>Vydáno</w:t>
      </w:r>
      <w:r w:rsidR="00361CD0">
        <w:t xml:space="preserve"> v Prestu,</w:t>
      </w:r>
      <w:r>
        <w:t xml:space="preserve"> březen 2018</w:t>
      </w:r>
      <w:r w:rsidR="00361CD0">
        <w:t xml:space="preserve"> </w:t>
      </w:r>
    </w:p>
    <w:sectPr w:rsidR="0036521C" w:rsidSect="009A0046">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46E8" w:rsidRDefault="00CA46E8" w:rsidP="00D97E5B">
      <w:pPr>
        <w:spacing w:after="0" w:line="240" w:lineRule="auto"/>
      </w:pPr>
      <w:r>
        <w:separator/>
      </w:r>
    </w:p>
  </w:endnote>
  <w:endnote w:type="continuationSeparator" w:id="0">
    <w:p w:rsidR="00CA46E8" w:rsidRDefault="00CA46E8" w:rsidP="00D97E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Arial Black">
    <w:panose1 w:val="020B0A04020102020204"/>
    <w:charset w:val="EE"/>
    <w:family w:val="swiss"/>
    <w:pitch w:val="variable"/>
    <w:sig w:usb0="A00002AF" w:usb1="400078FB"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7E5B" w:rsidRDefault="00D97E5B">
    <w:pPr>
      <w:pStyle w:val="Zpat"/>
    </w:pPr>
    <w:r>
      <w:rPr>
        <w:rFonts w:ascii="Times New Roman" w:hAnsi="Times New Roman" w:cs="Times New Roman"/>
        <w:caps/>
        <w:noProof/>
        <w:lang w:eastAsia="cs-CZ"/>
      </w:rPr>
      <w:drawing>
        <wp:inline distT="0" distB="0" distL="0" distR="0" wp14:anchorId="631D4307" wp14:editId="74A154E8">
          <wp:extent cx="5760720" cy="127825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link_OP_VVV_hor_barva_cz.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1278255"/>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46E8" w:rsidRDefault="00CA46E8" w:rsidP="00D97E5B">
      <w:pPr>
        <w:spacing w:after="0" w:line="240" w:lineRule="auto"/>
      </w:pPr>
      <w:r>
        <w:separator/>
      </w:r>
    </w:p>
  </w:footnote>
  <w:footnote w:type="continuationSeparator" w:id="0">
    <w:p w:rsidR="00CA46E8" w:rsidRDefault="00CA46E8" w:rsidP="00D97E5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521C"/>
    <w:rsid w:val="00191BC9"/>
    <w:rsid w:val="00216B2A"/>
    <w:rsid w:val="003105A2"/>
    <w:rsid w:val="0032055D"/>
    <w:rsid w:val="00361CD0"/>
    <w:rsid w:val="0036521C"/>
    <w:rsid w:val="00433B22"/>
    <w:rsid w:val="005A39EE"/>
    <w:rsid w:val="006068FD"/>
    <w:rsid w:val="00637080"/>
    <w:rsid w:val="006E1CDC"/>
    <w:rsid w:val="00726B06"/>
    <w:rsid w:val="007538C2"/>
    <w:rsid w:val="00760EE6"/>
    <w:rsid w:val="00814F7C"/>
    <w:rsid w:val="008249AF"/>
    <w:rsid w:val="00902F0F"/>
    <w:rsid w:val="00927E7C"/>
    <w:rsid w:val="009A0046"/>
    <w:rsid w:val="009E08E1"/>
    <w:rsid w:val="00A21C26"/>
    <w:rsid w:val="00A90909"/>
    <w:rsid w:val="00CA46E8"/>
    <w:rsid w:val="00D46D89"/>
    <w:rsid w:val="00D810F7"/>
    <w:rsid w:val="00D97E5B"/>
    <w:rsid w:val="00E015B5"/>
    <w:rsid w:val="00E105A5"/>
    <w:rsid w:val="00F87F78"/>
    <w:rsid w:val="00FB74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3BC6D2-D8B7-487D-ADA2-64F28A70E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9A004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A0046"/>
    <w:rPr>
      <w:rFonts w:ascii="Segoe UI" w:hAnsi="Segoe UI" w:cs="Segoe UI"/>
      <w:sz w:val="18"/>
      <w:szCs w:val="18"/>
    </w:rPr>
  </w:style>
  <w:style w:type="paragraph" w:styleId="Zhlav">
    <w:name w:val="header"/>
    <w:basedOn w:val="Normln"/>
    <w:link w:val="ZhlavChar"/>
    <w:uiPriority w:val="99"/>
    <w:unhideWhenUsed/>
    <w:rsid w:val="00D97E5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97E5B"/>
  </w:style>
  <w:style w:type="paragraph" w:styleId="Zpat">
    <w:name w:val="footer"/>
    <w:basedOn w:val="Normln"/>
    <w:link w:val="ZpatChar"/>
    <w:uiPriority w:val="99"/>
    <w:unhideWhenUsed/>
    <w:rsid w:val="00D97E5B"/>
    <w:pPr>
      <w:tabs>
        <w:tab w:val="center" w:pos="4536"/>
        <w:tab w:val="right" w:pos="9072"/>
      </w:tabs>
      <w:spacing w:after="0" w:line="240" w:lineRule="auto"/>
    </w:pPr>
  </w:style>
  <w:style w:type="character" w:customStyle="1" w:styleId="ZpatChar">
    <w:name w:val="Zápatí Char"/>
    <w:basedOn w:val="Standardnpsmoodstavce"/>
    <w:link w:val="Zpat"/>
    <w:uiPriority w:val="99"/>
    <w:rsid w:val="00D97E5B"/>
  </w:style>
  <w:style w:type="character" w:styleId="Hypertextovodkaz">
    <w:name w:val="Hyperlink"/>
    <w:basedOn w:val="Standardnpsmoodstavce"/>
    <w:uiPriority w:val="99"/>
    <w:unhideWhenUsed/>
    <w:rsid w:val="00433B2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zp.cz/web/edice.nsf/4BE8C2DA7BE810F6C125725900456E0A/$file/planeta4_obalka_2.pdf"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gif"/></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1A8BF6-E8C2-4C75-95F2-286EDDA24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5</Pages>
  <Words>1031</Words>
  <Characters>6089</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Vávra Václav</dc:creator>
  <cp:keywords/>
  <dc:description/>
  <cp:lastModifiedBy>Lokajová Aneta</cp:lastModifiedBy>
  <cp:revision>18</cp:revision>
  <cp:lastPrinted>2020-10-12T08:22:00Z</cp:lastPrinted>
  <dcterms:created xsi:type="dcterms:W3CDTF">2018-12-08T04:33:00Z</dcterms:created>
  <dcterms:modified xsi:type="dcterms:W3CDTF">2020-11-26T11:48:00Z</dcterms:modified>
</cp:coreProperties>
</file>