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6AF" w:rsidRPr="00BA3DA2" w:rsidRDefault="00F746AF" w:rsidP="00F746A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3DA2">
        <w:rPr>
          <w:rFonts w:ascii="Times New Roman" w:hAnsi="Times New Roman" w:cs="Times New Roman"/>
          <w:b/>
          <w:sz w:val="36"/>
          <w:szCs w:val="36"/>
        </w:rPr>
        <w:t xml:space="preserve">VIDA! </w:t>
      </w:r>
      <w:proofErr w:type="gramStart"/>
      <w:r w:rsidRPr="00BA3DA2">
        <w:rPr>
          <w:rFonts w:ascii="Times New Roman" w:hAnsi="Times New Roman" w:cs="Times New Roman"/>
          <w:b/>
          <w:sz w:val="36"/>
          <w:szCs w:val="36"/>
        </w:rPr>
        <w:t>školám</w:t>
      </w:r>
      <w:proofErr w:type="gramEnd"/>
      <w:r w:rsidRPr="00BA3DA2">
        <w:rPr>
          <w:rFonts w:ascii="Times New Roman" w:hAnsi="Times New Roman" w:cs="Times New Roman"/>
          <w:b/>
          <w:sz w:val="36"/>
          <w:szCs w:val="36"/>
        </w:rPr>
        <w:t xml:space="preserve"> - propojení formálního a neformálního vzdělávání</w:t>
      </w:r>
    </w:p>
    <w:p w:rsidR="00F746AF" w:rsidRPr="00BA3DA2" w:rsidRDefault="00F746AF" w:rsidP="00F746AF">
      <w:pPr>
        <w:spacing w:after="240"/>
        <w:ind w:firstLine="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3DA2">
        <w:rPr>
          <w:rFonts w:ascii="Times New Roman" w:hAnsi="Times New Roman" w:cs="Times New Roman"/>
          <w:b/>
          <w:sz w:val="36"/>
          <w:szCs w:val="36"/>
        </w:rPr>
        <w:t>CZ.02.3.68/0.0/0.0/16_032/0008290</w:t>
      </w:r>
    </w:p>
    <w:p w:rsidR="00F746AF" w:rsidRPr="00BA3DA2" w:rsidRDefault="00F746AF" w:rsidP="00F746AF">
      <w:pPr>
        <w:spacing w:after="240"/>
        <w:ind w:firstLine="284"/>
        <w:rPr>
          <w:rFonts w:ascii="Times New Roman" w:hAnsi="Times New Roman" w:cs="Times New Roman"/>
          <w:sz w:val="28"/>
          <w:szCs w:val="28"/>
        </w:rPr>
      </w:pPr>
    </w:p>
    <w:p w:rsidR="00F746AF" w:rsidRPr="00BA3DA2" w:rsidRDefault="00F746AF" w:rsidP="00F746AF">
      <w:pPr>
        <w:spacing w:after="240"/>
        <w:ind w:firstLine="284"/>
        <w:rPr>
          <w:rFonts w:ascii="Times New Roman" w:hAnsi="Times New Roman" w:cs="Times New Roman"/>
          <w:sz w:val="28"/>
          <w:szCs w:val="28"/>
        </w:rPr>
      </w:pPr>
    </w:p>
    <w:p w:rsidR="00F746AF" w:rsidRPr="00BA3DA2" w:rsidRDefault="00F746AF" w:rsidP="00F746AF">
      <w:pPr>
        <w:spacing w:after="240"/>
        <w:ind w:firstLine="284"/>
        <w:rPr>
          <w:rFonts w:ascii="Times New Roman" w:hAnsi="Times New Roman" w:cs="Times New Roman"/>
          <w:sz w:val="28"/>
          <w:szCs w:val="28"/>
        </w:rPr>
      </w:pPr>
    </w:p>
    <w:p w:rsidR="00F746AF" w:rsidRPr="00BA3DA2" w:rsidRDefault="00F746AF" w:rsidP="00F746AF">
      <w:pPr>
        <w:spacing w:after="240"/>
        <w:ind w:firstLine="28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A3DA2">
        <w:rPr>
          <w:rFonts w:ascii="Times New Roman" w:hAnsi="Times New Roman" w:cs="Times New Roman"/>
          <w:b/>
          <w:sz w:val="40"/>
          <w:szCs w:val="40"/>
        </w:rPr>
        <w:t>Program: Dva dny s energií</w:t>
      </w:r>
    </w:p>
    <w:p w:rsidR="00F746AF" w:rsidRDefault="00F746AF" w:rsidP="00F746AF">
      <w:pPr>
        <w:spacing w:after="240"/>
        <w:ind w:firstLine="284"/>
        <w:rPr>
          <w:rFonts w:ascii="Times New Roman" w:hAnsi="Times New Roman" w:cs="Times New Roman"/>
          <w:sz w:val="28"/>
          <w:szCs w:val="28"/>
        </w:rPr>
      </w:pPr>
    </w:p>
    <w:p w:rsidR="00F746AF" w:rsidRDefault="00F746AF" w:rsidP="00F746AF">
      <w:pPr>
        <w:spacing w:after="240"/>
        <w:ind w:firstLine="284"/>
        <w:rPr>
          <w:rFonts w:ascii="Times New Roman" w:hAnsi="Times New Roman" w:cs="Times New Roman"/>
          <w:sz w:val="28"/>
          <w:szCs w:val="28"/>
        </w:rPr>
      </w:pPr>
    </w:p>
    <w:p w:rsidR="00F746AF" w:rsidRDefault="00F746AF" w:rsidP="00F746AF">
      <w:pPr>
        <w:spacing w:after="24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Podkladový materiál – informační karty pro hru v ekocentru Alternátor ve variantě pro střední školy. Cílové informace jsou stejné jako pro žáky ZŠ, ale je potřeba se zorientovat ve větším množství textu a dokázat jej kriticky zhodnotit, tedy získat potřebné informace.</w:t>
      </w:r>
    </w:p>
    <w:p w:rsidR="00F746AF" w:rsidRPr="00BA3DA2" w:rsidRDefault="00F746AF" w:rsidP="00F746AF">
      <w:pPr>
        <w:spacing w:after="24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Karty je vhodné </w:t>
      </w:r>
      <w:proofErr w:type="spellStart"/>
      <w:r>
        <w:rPr>
          <w:rFonts w:ascii="Times New Roman" w:hAnsi="Times New Roman" w:cs="Times New Roman"/>
          <w:sz w:val="28"/>
          <w:szCs w:val="28"/>
        </w:rPr>
        <w:t>zalaminovat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fólie.</w:t>
      </w:r>
    </w:p>
    <w:p w:rsidR="00F746AF" w:rsidRDefault="00F746AF" w:rsidP="00F746AF">
      <w:pPr>
        <w:spacing w:after="0" w:line="288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F746AF" w:rsidRDefault="00F746AF" w:rsidP="00F746AF">
      <w:pPr>
        <w:spacing w:after="0" w:line="288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F746AF" w:rsidRDefault="00F746AF" w:rsidP="00F746AF">
      <w:pPr>
        <w:spacing w:after="0" w:line="288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F746AF" w:rsidRDefault="00F746AF" w:rsidP="00F746AF">
      <w:pPr>
        <w:spacing w:after="0" w:line="288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F746AF" w:rsidRDefault="00F746AF" w:rsidP="00F746AF">
      <w:pPr>
        <w:spacing w:after="0" w:line="288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F746AF" w:rsidRDefault="00F746AF" w:rsidP="00F746AF">
      <w:pPr>
        <w:spacing w:after="0" w:line="288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F746AF" w:rsidRDefault="00F746AF" w:rsidP="00F746AF">
      <w:pPr>
        <w:spacing w:after="0" w:line="288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F746AF" w:rsidRDefault="00F746AF" w:rsidP="00F746AF">
      <w:pPr>
        <w:spacing w:after="0" w:line="288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F746AF" w:rsidRDefault="00F746AF" w:rsidP="00F746AF">
      <w:pPr>
        <w:spacing w:after="0" w:line="288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F746AF" w:rsidRDefault="00F746AF" w:rsidP="00F746AF">
      <w:pPr>
        <w:spacing w:after="0" w:line="288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F746AF" w:rsidRDefault="00F746AF" w:rsidP="00F746AF">
      <w:pPr>
        <w:spacing w:after="0" w:line="288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F746AF" w:rsidRDefault="00F746AF" w:rsidP="00F746AF">
      <w:pPr>
        <w:spacing w:after="0" w:line="288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F746AF" w:rsidRDefault="00F746AF" w:rsidP="00F746AF">
      <w:pPr>
        <w:spacing w:after="0" w:line="288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  <w:lang w:eastAsia="cs-CZ"/>
        </w:rPr>
        <w:drawing>
          <wp:inline distT="0" distB="0" distL="0" distR="0" wp14:anchorId="07C5D83B" wp14:editId="4C04F4AC">
            <wp:extent cx="5760720" cy="1278255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link_OP_VVV_hor_barva_cz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B06" w:rsidRPr="00802885" w:rsidRDefault="00802885" w:rsidP="00F746AF">
      <w:pPr>
        <w:shd w:val="clear" w:color="auto" w:fill="1F3864" w:themeFill="accent5" w:themeFillShade="80"/>
        <w:spacing w:after="120"/>
        <w:rPr>
          <w:color w:val="FFFFFF" w:themeColor="background1"/>
        </w:rPr>
      </w:pPr>
      <w:r w:rsidRPr="00802885">
        <w:rPr>
          <w:rFonts w:ascii="Kristen ITC" w:hAnsi="Kristen ITC"/>
          <w:caps/>
          <w:color w:val="FFFFFF" w:themeColor="background1"/>
        </w:rPr>
        <w:lastRenderedPageBreak/>
        <w:t>Odhalené technologie</w:t>
      </w:r>
      <w:r w:rsidRPr="00802885">
        <w:rPr>
          <w:color w:val="FFFFFF" w:themeColor="background1"/>
        </w:rPr>
        <w:t>, měsíčník technických zajímavostí, ročník X, číslo 8, 2016</w:t>
      </w:r>
    </w:p>
    <w:p w:rsidR="00802885" w:rsidRPr="00802885" w:rsidRDefault="00802885" w:rsidP="00F746AF">
      <w:pPr>
        <w:spacing w:after="120"/>
        <w:rPr>
          <w:rFonts w:ascii="Arial Black" w:hAnsi="Arial Black"/>
          <w:sz w:val="48"/>
          <w:szCs w:val="48"/>
        </w:rPr>
      </w:pPr>
      <w:r w:rsidRPr="00802885">
        <w:rPr>
          <w:rFonts w:ascii="Arial Black" w:hAnsi="Arial Black"/>
          <w:sz w:val="48"/>
          <w:szCs w:val="48"/>
        </w:rPr>
        <w:t>Jak to frčí v tepelné elektrárně</w:t>
      </w:r>
    </w:p>
    <w:p w:rsidR="00802885" w:rsidRPr="008461AF" w:rsidRDefault="00802885">
      <w:pPr>
        <w:rPr>
          <w:rFonts w:ascii="Arial" w:hAnsi="Arial" w:cs="Arial"/>
        </w:rPr>
      </w:pPr>
      <w:r w:rsidRPr="008461AF">
        <w:rPr>
          <w:rFonts w:ascii="Arial" w:hAnsi="Arial" w:cs="Arial"/>
        </w:rPr>
        <w:t xml:space="preserve">Emanuel </w:t>
      </w:r>
      <w:proofErr w:type="spellStart"/>
      <w:r w:rsidRPr="008461AF">
        <w:rPr>
          <w:rFonts w:ascii="Arial" w:hAnsi="Arial" w:cs="Arial"/>
        </w:rPr>
        <w:t>Sapropel</w:t>
      </w:r>
      <w:proofErr w:type="spellEnd"/>
      <w:r w:rsidRPr="008461AF">
        <w:rPr>
          <w:rFonts w:ascii="Arial" w:hAnsi="Arial" w:cs="Arial"/>
        </w:rPr>
        <w:t xml:space="preserve">, </w:t>
      </w:r>
      <w:r w:rsidR="00802F8D">
        <w:rPr>
          <w:rFonts w:ascii="Arial" w:hAnsi="Arial" w:cs="Arial"/>
        </w:rPr>
        <w:t>energetický</w:t>
      </w:r>
      <w:r w:rsidRPr="008461AF">
        <w:rPr>
          <w:rFonts w:ascii="Arial" w:hAnsi="Arial" w:cs="Arial"/>
        </w:rPr>
        <w:t xml:space="preserve"> redaktor</w:t>
      </w:r>
    </w:p>
    <w:p w:rsidR="00802885" w:rsidRPr="00513918" w:rsidRDefault="00802885" w:rsidP="00513918">
      <w:pPr>
        <w:spacing w:after="0" w:line="288" w:lineRule="auto"/>
        <w:ind w:firstLine="567"/>
        <w:jc w:val="both"/>
        <w:rPr>
          <w:rFonts w:asciiTheme="majorHAnsi" w:hAnsiTheme="majorHAnsi" w:cstheme="majorHAnsi"/>
          <w:sz w:val="24"/>
          <w:szCs w:val="24"/>
        </w:rPr>
      </w:pPr>
      <w:r w:rsidRPr="00513918">
        <w:rPr>
          <w:rFonts w:asciiTheme="majorHAnsi" w:hAnsiTheme="majorHAnsi" w:cstheme="majorHAnsi"/>
          <w:sz w:val="24"/>
          <w:szCs w:val="24"/>
        </w:rPr>
        <w:t>Když se večer setmí, jdete a rozsvítíte si</w:t>
      </w:r>
      <w:r w:rsidR="00513918" w:rsidRPr="00513918">
        <w:rPr>
          <w:rFonts w:asciiTheme="majorHAnsi" w:hAnsiTheme="majorHAnsi" w:cstheme="majorHAnsi"/>
          <w:sz w:val="24"/>
          <w:szCs w:val="24"/>
        </w:rPr>
        <w:t>, koukáte na televizi a máte potraviny v lednici</w:t>
      </w:r>
      <w:r w:rsidRPr="00513918">
        <w:rPr>
          <w:rFonts w:asciiTheme="majorHAnsi" w:hAnsiTheme="majorHAnsi" w:cstheme="majorHAnsi"/>
          <w:sz w:val="24"/>
          <w:szCs w:val="24"/>
        </w:rPr>
        <w:t xml:space="preserve">? Jestliže ano, tak je </w:t>
      </w:r>
      <w:r w:rsidR="00802F8D">
        <w:rPr>
          <w:rFonts w:asciiTheme="majorHAnsi" w:hAnsiTheme="majorHAnsi" w:cstheme="majorHAnsi"/>
          <w:sz w:val="24"/>
          <w:szCs w:val="24"/>
        </w:rPr>
        <w:t>jisté</w:t>
      </w:r>
      <w:r w:rsidRPr="00513918">
        <w:rPr>
          <w:rFonts w:asciiTheme="majorHAnsi" w:hAnsiTheme="majorHAnsi" w:cstheme="majorHAnsi"/>
          <w:sz w:val="24"/>
          <w:szCs w:val="24"/>
        </w:rPr>
        <w:t>, že skoro polovina odebrané elektrické energie k vám proudí z tepelných elektráren. V každé zemi je tento podíl trochu jiný, ale v celosvětovém průměru je to asi polovina výroby.</w:t>
      </w:r>
    </w:p>
    <w:p w:rsidR="00802885" w:rsidRDefault="00802885" w:rsidP="00513918">
      <w:pPr>
        <w:spacing w:after="0" w:line="288" w:lineRule="auto"/>
        <w:ind w:firstLine="567"/>
        <w:jc w:val="both"/>
        <w:rPr>
          <w:rFonts w:asciiTheme="majorHAnsi" w:hAnsiTheme="majorHAnsi" w:cstheme="majorHAnsi"/>
          <w:sz w:val="24"/>
          <w:szCs w:val="24"/>
        </w:rPr>
      </w:pPr>
      <w:r w:rsidRPr="00513918">
        <w:rPr>
          <w:rFonts w:asciiTheme="majorHAnsi" w:hAnsiTheme="majorHAnsi" w:cstheme="majorHAnsi"/>
          <w:sz w:val="24"/>
          <w:szCs w:val="24"/>
        </w:rPr>
        <w:t>Základní princip fungování uhelné elektrárny je založen na přeměně energie tepelné na mechanickou</w:t>
      </w:r>
      <w:r w:rsidR="00BF1571" w:rsidRPr="00513918">
        <w:rPr>
          <w:rFonts w:asciiTheme="majorHAnsi" w:hAnsiTheme="majorHAnsi" w:cstheme="majorHAnsi"/>
          <w:sz w:val="24"/>
          <w:szCs w:val="24"/>
        </w:rPr>
        <w:t xml:space="preserve"> (spalování uhlí, plynu nebo ropných produktů)</w:t>
      </w:r>
      <w:r w:rsidRPr="00513918">
        <w:rPr>
          <w:rFonts w:asciiTheme="majorHAnsi" w:hAnsiTheme="majorHAnsi" w:cstheme="majorHAnsi"/>
          <w:sz w:val="24"/>
          <w:szCs w:val="24"/>
        </w:rPr>
        <w:t xml:space="preserve"> a mechanické na elektrickou. Teplo uvol</w:t>
      </w:r>
      <w:bookmarkStart w:id="0" w:name="_GoBack"/>
      <w:bookmarkEnd w:id="0"/>
      <w:r w:rsidRPr="00513918">
        <w:rPr>
          <w:rFonts w:asciiTheme="majorHAnsi" w:hAnsiTheme="majorHAnsi" w:cstheme="majorHAnsi"/>
          <w:sz w:val="24"/>
          <w:szCs w:val="24"/>
        </w:rPr>
        <w:t>něné v kotli ohřívá vodu procházející trubkami uvnitř kotle a mění ji v páru. Pára proudí do turbíny, jejím lopatkám předá svou pohybovou energii a roztočí ji. Vzhledem k tomu, že je turbína pevně spojena s generátorem, roztáčí se i ten a přeměňuje mechanickou energii na elektřinu. V elektrárenském generátoru rotuje elektromagnet, vinutí, v němž se indukuje napětí a proud, je umístěno na statoru okolo něj. Celé soustrojí se otáčí rychlostí 3000 otáček za minutu. Pára vycházející z turbíny je vedena do kondenzátoru, kde zkondenzuje, tj. z plynu se stane opět kapalina. Z kondenzátoru je voda vedena zpět do kotle, kde celý cyklus začíná znovu. Pára vyrobená v kotli může sloužit i k vytápění přilehlých obcí a měst.</w:t>
      </w:r>
    </w:p>
    <w:p w:rsidR="00F760CA" w:rsidRPr="00F760CA" w:rsidRDefault="00F760CA" w:rsidP="00F760CA">
      <w:pPr>
        <w:rPr>
          <w:rFonts w:asciiTheme="majorHAnsi" w:hAnsiTheme="majorHAnsi" w:cstheme="majorHAnsi"/>
          <w:sz w:val="24"/>
          <w:szCs w:val="24"/>
        </w:rPr>
      </w:pPr>
      <w:r w:rsidRPr="00F760CA">
        <w:rPr>
          <w:rFonts w:asciiTheme="majorHAnsi" w:hAnsiTheme="majorHAnsi" w:cstheme="majorHAnsi"/>
          <w:sz w:val="24"/>
          <w:szCs w:val="24"/>
        </w:rPr>
        <w:t xml:space="preserve">Paroplynová turbína pro spalování zemního plynu. </w:t>
      </w:r>
      <w:proofErr w:type="gramStart"/>
      <w:r w:rsidRPr="00F760CA">
        <w:rPr>
          <w:rFonts w:asciiTheme="majorHAnsi" w:hAnsiTheme="majorHAnsi" w:cstheme="majorHAnsi"/>
          <w:sz w:val="24"/>
          <w:szCs w:val="24"/>
          <w:shd w:val="clear" w:color="auto" w:fill="FFFFFF"/>
        </w:rPr>
        <w:t>foto</w:t>
      </w:r>
      <w:proofErr w:type="gramEnd"/>
      <w:r w:rsidRPr="00F760C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: Siemens, na adrese </w:t>
      </w:r>
      <w:hyperlink r:id="rId6" w:history="1">
        <w:r w:rsidRPr="00F760CA">
          <w:rPr>
            <w:rStyle w:val="Hypertextovodkaz"/>
            <w:rFonts w:asciiTheme="majorHAnsi" w:hAnsiTheme="majorHAnsi" w:cstheme="majorHAnsi"/>
            <w:sz w:val="24"/>
            <w:szCs w:val="24"/>
            <w:shd w:val="clear" w:color="auto" w:fill="FFFFFF"/>
          </w:rPr>
          <w:t>http://www.hybrid.cz/i/auto/paroplynova-elektrarna-turbina-siemens.jpg</w:t>
        </w:r>
      </w:hyperlink>
      <w:r w:rsidRPr="00F760C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</w:p>
    <w:p w:rsidR="00F760CA" w:rsidRPr="00513918" w:rsidRDefault="00F760CA" w:rsidP="00513918">
      <w:pPr>
        <w:spacing w:after="0" w:line="288" w:lineRule="auto"/>
        <w:ind w:firstLine="567"/>
        <w:jc w:val="both"/>
        <w:rPr>
          <w:rFonts w:asciiTheme="majorHAnsi" w:hAnsiTheme="majorHAnsi" w:cstheme="majorHAnsi"/>
          <w:sz w:val="24"/>
          <w:szCs w:val="24"/>
        </w:rPr>
      </w:pPr>
    </w:p>
    <w:p w:rsidR="00802885" w:rsidRPr="00513918" w:rsidRDefault="00F760CA" w:rsidP="00513918">
      <w:pPr>
        <w:spacing w:after="0" w:line="288" w:lineRule="auto"/>
        <w:ind w:firstLine="567"/>
        <w:jc w:val="both"/>
        <w:rPr>
          <w:rFonts w:asciiTheme="majorHAnsi" w:hAnsiTheme="majorHAnsi" w:cstheme="majorHAnsi"/>
          <w:sz w:val="24"/>
          <w:szCs w:val="24"/>
        </w:rPr>
      </w:pPr>
      <w:r w:rsidRPr="00D22E06">
        <w:rPr>
          <w:rFonts w:asciiTheme="majorHAnsi" w:hAnsiTheme="majorHAnsi" w:cstheme="majorHAnsi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8911BED" wp14:editId="11E903CE">
                <wp:simplePos x="0" y="0"/>
                <wp:positionH relativeFrom="column">
                  <wp:posOffset>46355</wp:posOffset>
                </wp:positionH>
                <wp:positionV relativeFrom="paragraph">
                  <wp:posOffset>1523365</wp:posOffset>
                </wp:positionV>
                <wp:extent cx="2133600" cy="988695"/>
                <wp:effectExtent l="0" t="0" r="0" b="1905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988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E06" w:rsidRDefault="00D22E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11BE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.65pt;margin-top:119.95pt;width:168pt;height:77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" filled="f" stroked="f">
                <v:textbox>
                  <w:txbxContent>
                    <w:p w:rsidR="00D22E06" w:rsidRDefault="00D22E06"/>
                  </w:txbxContent>
                </v:textbox>
                <w10:wrap type="square"/>
              </v:shape>
            </w:pict>
          </mc:Fallback>
        </mc:AlternateContent>
      </w:r>
      <w:r w:rsidR="00802885" w:rsidRPr="00513918">
        <w:rPr>
          <w:rFonts w:asciiTheme="majorHAnsi" w:hAnsiTheme="majorHAnsi" w:cstheme="majorHAnsi"/>
          <w:sz w:val="24"/>
          <w:szCs w:val="24"/>
        </w:rPr>
        <w:t>Fyzikálním jevem, na němž je ve většině typů elektráren založena výroba elektrického proudu, je elektromagnetická indukce. Podle Faradayova zákona o elektromagnetické indukci se na koncích smyčky, která se otáčí v magnetickém poli, indukuje střídavé elektrické napětí. Uzavřeme-li obvod, prochází smyčkou střídavý elektrický proud. Platí, že čím rychleji vodičem v magnetickém poli pohybujeme, tím je indukované napětí větší.</w:t>
      </w:r>
    </w:p>
    <w:p w:rsidR="00192B23" w:rsidRDefault="00802885" w:rsidP="00192B23">
      <w:pPr>
        <w:spacing w:after="0" w:line="288" w:lineRule="auto"/>
        <w:ind w:firstLine="567"/>
        <w:jc w:val="both"/>
        <w:rPr>
          <w:rFonts w:asciiTheme="majorHAnsi" w:hAnsiTheme="majorHAnsi" w:cstheme="majorHAnsi"/>
          <w:sz w:val="24"/>
          <w:szCs w:val="24"/>
        </w:rPr>
      </w:pPr>
      <w:r w:rsidRPr="00513918">
        <w:rPr>
          <w:rFonts w:asciiTheme="majorHAnsi" w:hAnsiTheme="majorHAnsi" w:cstheme="majorHAnsi"/>
          <w:sz w:val="24"/>
          <w:szCs w:val="24"/>
        </w:rPr>
        <w:t>Většina uhelných elektráren je uspořádána do tzv. výrobních bloků. Elektrárenský výrobní blok znamená samostatnou jednotku skládající se z kotle, turbíny a příslušenství, z generátoru, odlučovačů popílku, chladicí věže, blokového transformátoru a v novější době také z odsiřovacího zařízení. Zařízení, kter</w:t>
      </w:r>
      <w:r w:rsidR="00802F8D">
        <w:rPr>
          <w:rFonts w:asciiTheme="majorHAnsi" w:hAnsiTheme="majorHAnsi" w:cstheme="majorHAnsi"/>
          <w:sz w:val="24"/>
          <w:szCs w:val="24"/>
        </w:rPr>
        <w:t>á</w:t>
      </w:r>
      <w:r w:rsidRPr="00513918">
        <w:rPr>
          <w:rFonts w:asciiTheme="majorHAnsi" w:hAnsiTheme="majorHAnsi" w:cstheme="majorHAnsi"/>
          <w:sz w:val="24"/>
          <w:szCs w:val="24"/>
        </w:rPr>
        <w:t xml:space="preserve"> </w:t>
      </w:r>
      <w:r w:rsidR="00802F8D">
        <w:rPr>
          <w:rFonts w:asciiTheme="majorHAnsi" w:hAnsiTheme="majorHAnsi" w:cstheme="majorHAnsi"/>
          <w:sz w:val="24"/>
          <w:szCs w:val="24"/>
        </w:rPr>
        <w:t>mohou</w:t>
      </w:r>
      <w:r w:rsidRPr="00513918">
        <w:rPr>
          <w:rFonts w:asciiTheme="majorHAnsi" w:hAnsiTheme="majorHAnsi" w:cstheme="majorHAnsi"/>
          <w:sz w:val="24"/>
          <w:szCs w:val="24"/>
        </w:rPr>
        <w:t xml:space="preserve"> být společn</w:t>
      </w:r>
      <w:r w:rsidR="00802F8D">
        <w:rPr>
          <w:rFonts w:asciiTheme="majorHAnsi" w:hAnsiTheme="majorHAnsi" w:cstheme="majorHAnsi"/>
          <w:sz w:val="24"/>
          <w:szCs w:val="24"/>
        </w:rPr>
        <w:t>á</w:t>
      </w:r>
      <w:r w:rsidRPr="00513918">
        <w:rPr>
          <w:rFonts w:asciiTheme="majorHAnsi" w:hAnsiTheme="majorHAnsi" w:cstheme="majorHAnsi"/>
          <w:sz w:val="24"/>
          <w:szCs w:val="24"/>
        </w:rPr>
        <w:t xml:space="preserve"> několika blokům, </w:t>
      </w:r>
      <w:r w:rsidR="00802F8D">
        <w:rPr>
          <w:rFonts w:asciiTheme="majorHAnsi" w:hAnsiTheme="majorHAnsi" w:cstheme="majorHAnsi"/>
          <w:sz w:val="24"/>
          <w:szCs w:val="24"/>
        </w:rPr>
        <w:t>jsou</w:t>
      </w:r>
      <w:r w:rsidRPr="00513918">
        <w:rPr>
          <w:rFonts w:asciiTheme="majorHAnsi" w:hAnsiTheme="majorHAnsi" w:cstheme="majorHAnsi"/>
          <w:sz w:val="24"/>
          <w:szCs w:val="24"/>
        </w:rPr>
        <w:t xml:space="preserve"> </w:t>
      </w:r>
      <w:r w:rsidR="00BF1571" w:rsidRPr="00513918">
        <w:rPr>
          <w:rFonts w:asciiTheme="majorHAnsi" w:hAnsiTheme="majorHAnsi" w:cstheme="majorHAnsi"/>
          <w:sz w:val="24"/>
          <w:szCs w:val="24"/>
        </w:rPr>
        <w:t>uhelný mlýn</w:t>
      </w:r>
      <w:r w:rsidRPr="00513918">
        <w:rPr>
          <w:rFonts w:asciiTheme="majorHAnsi" w:hAnsiTheme="majorHAnsi" w:cstheme="majorHAnsi"/>
          <w:sz w:val="24"/>
          <w:szCs w:val="24"/>
        </w:rPr>
        <w:t>,</w:t>
      </w:r>
    </w:p>
    <w:p w:rsidR="00192B23" w:rsidRPr="00802885" w:rsidRDefault="00192B23" w:rsidP="00192B23">
      <w:pPr>
        <w:shd w:val="clear" w:color="auto" w:fill="1F3864" w:themeFill="accent5" w:themeFillShade="80"/>
        <w:spacing w:after="240"/>
        <w:rPr>
          <w:color w:val="FFFFFF" w:themeColor="background1"/>
        </w:rPr>
      </w:pPr>
      <w:r w:rsidRPr="00802885">
        <w:rPr>
          <w:rFonts w:ascii="Kristen ITC" w:hAnsi="Kristen ITC"/>
          <w:caps/>
          <w:color w:val="FFFFFF" w:themeColor="background1"/>
        </w:rPr>
        <w:t>Odhalené technologie</w:t>
      </w:r>
      <w:r w:rsidRPr="00802885">
        <w:rPr>
          <w:color w:val="FFFFFF" w:themeColor="background1"/>
        </w:rPr>
        <w:t>, měsíčník technických zajímavostí, ročník X, číslo 8, 2016</w:t>
      </w:r>
    </w:p>
    <w:p w:rsidR="00802885" w:rsidRPr="00513918" w:rsidRDefault="00802885" w:rsidP="00192B23">
      <w:pPr>
        <w:spacing w:after="0" w:line="288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13918">
        <w:rPr>
          <w:rFonts w:asciiTheme="majorHAnsi" w:hAnsiTheme="majorHAnsi" w:cstheme="majorHAnsi"/>
          <w:sz w:val="24"/>
          <w:szCs w:val="24"/>
        </w:rPr>
        <w:t>vodní hospodářství (přivaděče, čerpadla a chemická úprava vody), komín</w:t>
      </w:r>
      <w:r w:rsidR="00BF1571" w:rsidRPr="00513918">
        <w:rPr>
          <w:rFonts w:asciiTheme="majorHAnsi" w:hAnsiTheme="majorHAnsi" w:cstheme="majorHAnsi"/>
          <w:sz w:val="24"/>
          <w:szCs w:val="24"/>
        </w:rPr>
        <w:t xml:space="preserve"> a</w:t>
      </w:r>
      <w:r w:rsidRPr="00513918">
        <w:rPr>
          <w:rFonts w:asciiTheme="majorHAnsi" w:hAnsiTheme="majorHAnsi" w:cstheme="majorHAnsi"/>
          <w:sz w:val="24"/>
          <w:szCs w:val="24"/>
        </w:rPr>
        <w:t xml:space="preserve"> pomocná zařízení k odběru popílku a odsiřování.</w:t>
      </w:r>
    </w:p>
    <w:p w:rsidR="00BF1571" w:rsidRPr="00513918" w:rsidRDefault="00D22E06" w:rsidP="00513918">
      <w:pPr>
        <w:spacing w:after="0" w:line="288" w:lineRule="auto"/>
        <w:ind w:firstLine="567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3605530</wp:posOffset>
                </wp:positionH>
                <wp:positionV relativeFrom="paragraph">
                  <wp:posOffset>1077595</wp:posOffset>
                </wp:positionV>
                <wp:extent cx="1485900" cy="1047750"/>
                <wp:effectExtent l="0" t="0" r="0" b="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2E06" w:rsidRPr="00D22E06" w:rsidRDefault="00D22E0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Popelka O.: Fluidní kotel s cirkulací fluidní vrstvou na spalování uhlí a dřevní biomasy 150 t/h. MS bakalářská práce, VUT Brno, 2012.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8" o:spid="_x0000_s1027" type="#_x0000_t202" style="position:absolute;left:0;text-align:left;margin-left:283.9pt;margin-top:84.85pt;width:117pt;height:8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" fillcolor="white [3201]" stroked="f" strokeweight=".5pt">
                <v:textbox>
                  <w:txbxContent>
                    <w:p w:rsidR="00D22E06" w:rsidRPr="00D22E06" w:rsidRDefault="00D22E0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Popelka O.: Fluidní kotel s cirkulací fluidní vrstvou na spalování uhlí a dřevní biomasy 150 t/h. MS bakalářská práce, VUT Brno, 2012.</w:t>
                      </w:r>
                    </w:p>
                  </w:txbxContent>
                </v:textbox>
              </v:shape>
            </w:pict>
          </mc:Fallback>
        </mc:AlternateContent>
      </w:r>
      <w:r w:rsidR="00192B23">
        <w:rPr>
          <w:rFonts w:asciiTheme="majorHAnsi" w:hAnsiTheme="majorHAnsi" w:cstheme="majorHAnsi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11D7CC6F" wp14:editId="1ECA6DC2">
            <wp:simplePos x="0" y="0"/>
            <wp:positionH relativeFrom="column">
              <wp:posOffset>576580</wp:posOffset>
            </wp:positionH>
            <wp:positionV relativeFrom="paragraph">
              <wp:posOffset>987425</wp:posOffset>
            </wp:positionV>
            <wp:extent cx="4885200" cy="2934000"/>
            <wp:effectExtent l="0" t="0" r="0" b="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luidni_kotel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5200" cy="293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1571" w:rsidRPr="00513918">
        <w:rPr>
          <w:rFonts w:asciiTheme="majorHAnsi" w:hAnsiTheme="majorHAnsi" w:cstheme="majorHAnsi"/>
          <w:sz w:val="24"/>
          <w:szCs w:val="24"/>
        </w:rPr>
        <w:t>Hybnou silou celého procesu je spalování paliva.</w:t>
      </w:r>
      <w:r w:rsidR="00E837B2" w:rsidRPr="00513918">
        <w:rPr>
          <w:rFonts w:asciiTheme="majorHAnsi" w:hAnsiTheme="majorHAnsi" w:cstheme="majorHAnsi"/>
          <w:sz w:val="24"/>
          <w:szCs w:val="24"/>
        </w:rPr>
        <w:t xml:space="preserve"> Podle jeho typu mohou být kotle určeny pro spalování uhlí a biomasy, plynu nebo ropných produktů (topné oleje). Zemního plynu se používá v tzv. paroplynových elektrárnách a proces přeměny na tepelnou energii probíhá v plynových turbínách</w:t>
      </w:r>
      <w:r w:rsidR="005649AD" w:rsidRPr="00513918">
        <w:rPr>
          <w:rFonts w:asciiTheme="majorHAnsi" w:hAnsiTheme="majorHAnsi" w:cstheme="majorHAnsi"/>
          <w:sz w:val="24"/>
          <w:szCs w:val="24"/>
        </w:rPr>
        <w:t xml:space="preserve">. </w:t>
      </w:r>
      <w:r w:rsidR="005B0527" w:rsidRPr="00513918">
        <w:rPr>
          <w:rFonts w:asciiTheme="majorHAnsi" w:hAnsiTheme="majorHAnsi" w:cstheme="majorHAnsi"/>
          <w:sz w:val="24"/>
          <w:szCs w:val="24"/>
        </w:rPr>
        <w:t xml:space="preserve">Jako palivo </w:t>
      </w:r>
      <w:r w:rsidR="00802F8D">
        <w:rPr>
          <w:rFonts w:asciiTheme="majorHAnsi" w:hAnsiTheme="majorHAnsi" w:cstheme="majorHAnsi"/>
          <w:sz w:val="24"/>
          <w:szCs w:val="24"/>
        </w:rPr>
        <w:t>lze</w:t>
      </w:r>
      <w:r w:rsidR="005B0527" w:rsidRPr="00513918">
        <w:rPr>
          <w:rFonts w:asciiTheme="majorHAnsi" w:hAnsiTheme="majorHAnsi" w:cstheme="majorHAnsi"/>
          <w:sz w:val="24"/>
          <w:szCs w:val="24"/>
        </w:rPr>
        <w:t xml:space="preserve"> použít také kapaliny, např. topný olej.</w:t>
      </w:r>
    </w:p>
    <w:p w:rsidR="005B0527" w:rsidRDefault="00F746AF" w:rsidP="00513918">
      <w:pPr>
        <w:spacing w:after="0" w:line="288" w:lineRule="auto"/>
        <w:ind w:firstLine="567"/>
        <w:jc w:val="both"/>
        <w:rPr>
          <w:rFonts w:asciiTheme="majorHAnsi" w:hAnsiTheme="majorHAnsi" w:cstheme="majorHAnsi"/>
          <w:sz w:val="24"/>
          <w:szCs w:val="24"/>
        </w:rPr>
      </w:pPr>
      <w:r w:rsidRPr="00796E00">
        <w:rPr>
          <w:rFonts w:asciiTheme="majorHAnsi" w:hAnsiTheme="majorHAnsi" w:cstheme="majorHAnsi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F18046" wp14:editId="51D2C1C3">
                <wp:simplePos x="0" y="0"/>
                <wp:positionH relativeFrom="margin">
                  <wp:posOffset>119380</wp:posOffset>
                </wp:positionH>
                <wp:positionV relativeFrom="paragraph">
                  <wp:posOffset>3089910</wp:posOffset>
                </wp:positionV>
                <wp:extent cx="5342255" cy="514350"/>
                <wp:effectExtent l="0" t="0" r="0" b="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225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B23" w:rsidRDefault="00192B23" w:rsidP="00F746AF">
                            <w:pPr>
                              <w:ind w:left="567"/>
                            </w:pPr>
                            <w:r>
                              <w:t xml:space="preserve">Princip spalování uhlí ve </w:t>
                            </w:r>
                            <w:proofErr w:type="spellStart"/>
                            <w:r>
                              <w:t>fludním</w:t>
                            </w:r>
                            <w:proofErr w:type="spellEnd"/>
                            <w:r>
                              <w:t xml:space="preserve"> kotli, který dokáže odstranit značnou část oxidů síry z vypouštěných spalin.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18046" id="_x0000_s1028" type="#_x0000_t202" style="position:absolute;left:0;text-align:left;margin-left:9.4pt;margin-top:243.3pt;width:420.65pt;height:4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" stroked="f">
                <v:textbox>
                  <w:txbxContent>
                    <w:p w:rsidR="00192B23" w:rsidRDefault="00192B23" w:rsidP="00F746AF">
                      <w:pPr>
                        <w:ind w:left="567"/>
                      </w:pPr>
                      <w:r>
                        <w:t xml:space="preserve">Princip spalování uhlí ve </w:t>
                      </w:r>
                      <w:proofErr w:type="spellStart"/>
                      <w:r>
                        <w:t>fludním</w:t>
                      </w:r>
                      <w:proofErr w:type="spellEnd"/>
                      <w:r>
                        <w:t xml:space="preserve"> kotli, který dokáže odstranit značnou část oxidů síry z vypouštěných spalin.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B0527" w:rsidRPr="00513918">
        <w:rPr>
          <w:rFonts w:asciiTheme="majorHAnsi" w:hAnsiTheme="majorHAnsi" w:cstheme="majorHAnsi"/>
          <w:sz w:val="24"/>
          <w:szCs w:val="24"/>
        </w:rPr>
        <w:t xml:space="preserve">Kotle pro spalování uhlí mají různou konstrukci. Některé spalují při teplotách 1200 °C a </w:t>
      </w:r>
      <w:r w:rsidR="00802F8D" w:rsidRPr="00513918">
        <w:rPr>
          <w:rFonts w:asciiTheme="majorHAnsi" w:hAnsiTheme="majorHAnsi" w:cstheme="majorHAnsi"/>
          <w:sz w:val="24"/>
          <w:szCs w:val="24"/>
        </w:rPr>
        <w:t xml:space="preserve">vzniká </w:t>
      </w:r>
      <w:r w:rsidR="005B0527" w:rsidRPr="00513918">
        <w:rPr>
          <w:rFonts w:asciiTheme="majorHAnsi" w:hAnsiTheme="majorHAnsi" w:cstheme="majorHAnsi"/>
          <w:sz w:val="24"/>
          <w:szCs w:val="24"/>
        </w:rPr>
        <w:t>přitom řada oxidů uhlíku a síry, které unikají do ovzduší. Moderní metodou je spalování ve fluidním loži při teplotách asi 850 °C a díky přídavku mletého vápence je velká část oxidů síry zachycena a převedena do pevného stavu. Odsiřování uhelných elektráren je významným trendem v současné energetice. Objem emisí, které se dostanou do vzduchu, také závisí na typu a kvalitě pevného paliva. Nejčastěji se používá hnědé uhlí – je levnější, ale obsahuje méně hořlavin a více vody. Oproti tomu černé uhlí je výhřevnější (vyšší účinnost), ale je prodáváno za vyšší cenu.</w:t>
      </w:r>
      <w:r w:rsidR="00D7169D" w:rsidRPr="00513918">
        <w:rPr>
          <w:rFonts w:asciiTheme="majorHAnsi" w:hAnsiTheme="majorHAnsi" w:cstheme="majorHAnsi"/>
          <w:sz w:val="24"/>
          <w:szCs w:val="24"/>
        </w:rPr>
        <w:t xml:space="preserve"> Uhlí je vlastně sluneční energie uložená fotosyntézou do rostlin, ale před 300 milióny let.</w:t>
      </w:r>
    </w:p>
    <w:p w:rsidR="00513918" w:rsidRPr="00513918" w:rsidRDefault="00513918" w:rsidP="00513918">
      <w:pPr>
        <w:spacing w:after="0" w:line="288" w:lineRule="auto"/>
        <w:ind w:firstLine="567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Nikdo nepochybuje o tom, že tepelné elektrárny nepřinášejí životnímu prostř</w:t>
      </w:r>
      <w:r w:rsidR="00F6743F">
        <w:rPr>
          <w:rFonts w:asciiTheme="majorHAnsi" w:hAnsiTheme="majorHAnsi" w:cstheme="majorHAnsi"/>
          <w:sz w:val="24"/>
          <w:szCs w:val="24"/>
        </w:rPr>
        <w:t>edí nic dobrého. Jedná se však o</w:t>
      </w:r>
      <w:r>
        <w:rPr>
          <w:rFonts w:asciiTheme="majorHAnsi" w:hAnsiTheme="majorHAnsi" w:cstheme="majorHAnsi"/>
          <w:sz w:val="24"/>
          <w:szCs w:val="24"/>
        </w:rPr>
        <w:t xml:space="preserve"> velmi výkonné a stabilní zdroje elektrické energie, které není tak snadné nahradit jinými technologiemi výroby. Momentálně by to šlo jen drastickým snížením spotřeby energie na polovinu, ale k tomu není v celosvětovém měřítku potřebná vůle. Nikdo z nás se nechce vzdát svého pohodlí, které stojí právě na elektrické energii.</w:t>
      </w:r>
    </w:p>
    <w:p w:rsidR="00D7169D" w:rsidRDefault="00D7169D" w:rsidP="00BF1571">
      <w:pPr>
        <w:jc w:val="both"/>
      </w:pPr>
    </w:p>
    <w:p w:rsidR="00BF1571" w:rsidRPr="00863042" w:rsidRDefault="001B2B0A" w:rsidP="001B2B0A">
      <w:pPr>
        <w:jc w:val="right"/>
        <w:rPr>
          <w:rFonts w:ascii="Bookman Old Style" w:hAnsi="Bookman Old Style"/>
          <w:u w:val="single"/>
        </w:rPr>
      </w:pPr>
      <w:r w:rsidRPr="00863042">
        <w:rPr>
          <w:rFonts w:ascii="Bookman Old Style" w:hAnsi="Bookman Old Style"/>
          <w:u w:val="single"/>
        </w:rPr>
        <w:t xml:space="preserve">Burzovní žurnál – časopis sdružení MASO </w:t>
      </w:r>
    </w:p>
    <w:p w:rsidR="00802885" w:rsidRPr="001B2B0A" w:rsidRDefault="001B2B0A">
      <w:pPr>
        <w:rPr>
          <w:rFonts w:ascii="Comic Sans MS" w:hAnsi="Comic Sans MS"/>
          <w:b/>
          <w:sz w:val="28"/>
          <w:szCs w:val="28"/>
        </w:rPr>
      </w:pPr>
      <w:r w:rsidRPr="001B2B0A">
        <w:rPr>
          <w:rFonts w:ascii="Comic Sans MS" w:hAnsi="Comic Sans MS"/>
          <w:b/>
          <w:sz w:val="28"/>
          <w:szCs w:val="28"/>
        </w:rPr>
        <w:t>Zpráva předsednictva sdružení MASO (Makléřská asociace) k vývoji cen uhlí na světové burze a výhled na dalších 10 let</w:t>
      </w:r>
    </w:p>
    <w:p w:rsidR="00802885" w:rsidRDefault="001B2B0A">
      <w:r>
        <w:t>Zpracováno ke dni 2</w:t>
      </w:r>
      <w:r w:rsidR="003066FB">
        <w:t>3</w:t>
      </w:r>
      <w:r>
        <w:t>. 1</w:t>
      </w:r>
      <w:r w:rsidR="003066FB">
        <w:t>2</w:t>
      </w:r>
      <w:r>
        <w:t>. 2018</w:t>
      </w:r>
    </w:p>
    <w:p w:rsidR="001B2B0A" w:rsidRPr="001B2B0A" w:rsidRDefault="001B2B0A">
      <w:pPr>
        <w:rPr>
          <w:rFonts w:asciiTheme="majorHAnsi" w:hAnsiTheme="majorHAnsi" w:cstheme="majorHAnsi"/>
        </w:rPr>
      </w:pPr>
    </w:p>
    <w:p w:rsidR="00863042" w:rsidRDefault="00863042">
      <w:pPr>
        <w:sectPr w:rsidR="0086304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02885" w:rsidRDefault="001B2B0A" w:rsidP="00863042">
      <w:pPr>
        <w:spacing w:after="60" w:line="288" w:lineRule="auto"/>
        <w:jc w:val="both"/>
      </w:pPr>
      <w:r>
        <w:t xml:space="preserve">Vývoj cen </w:t>
      </w:r>
      <w:r w:rsidRPr="00AB57DD">
        <w:rPr>
          <w:b/>
        </w:rPr>
        <w:t>hnědého uhlí</w:t>
      </w:r>
      <w:r>
        <w:t xml:space="preserve"> v roce 2018 odpovídal dlouhodobým předpokladům. Vzhledem k ustálené poptávce na světových trzích se v prvním čtvrtletí roku pohybovala cena kolem 1 400 Kč za tunu s fluktuací </w:t>
      </w:r>
      <w:r>
        <w:rPr>
          <w:rFonts w:cstheme="minorHAnsi"/>
        </w:rPr>
        <w:t>±</w:t>
      </w:r>
      <w:r>
        <w:t xml:space="preserve">3 %. </w:t>
      </w:r>
      <w:r w:rsidR="00F85D38">
        <w:t>Na konci dubna byl zaznamenán nárůst ceny hnědého uhlí na hodnotu kolem 1 725 Kč za tunu a cena se vrátila na jarní hodnotu až začátkem října. Navýšení ceny bylo vyvoláno dočasným výpadkem dodávek ze dvou velkých ložisek v Rusku a Číně.</w:t>
      </w:r>
    </w:p>
    <w:p w:rsidR="00F85D38" w:rsidRDefault="006942AF" w:rsidP="00863042">
      <w:pPr>
        <w:spacing w:after="60" w:line="288" w:lineRule="auto"/>
        <w:jc w:val="both"/>
      </w:pPr>
      <w:r>
        <w:rPr>
          <w:noProof/>
          <w:lang w:eastAsia="cs-CZ"/>
        </w:rPr>
        <w:drawing>
          <wp:anchor distT="0" distB="71755" distL="114300" distR="114300" simplePos="0" relativeHeight="251664384" behindDoc="0" locked="0" layoutInCell="1" allowOverlap="1">
            <wp:simplePos x="0" y="0"/>
            <wp:positionH relativeFrom="margin">
              <wp:posOffset>1781175</wp:posOffset>
            </wp:positionH>
            <wp:positionV relativeFrom="paragraph">
              <wp:posOffset>249555</wp:posOffset>
            </wp:positionV>
            <wp:extent cx="4027805" cy="2515870"/>
            <wp:effectExtent l="0" t="0" r="10795" b="17780"/>
            <wp:wrapSquare wrapText="bothSides"/>
            <wp:docPr id="4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57DD">
        <w:t>Předsednictvo</w:t>
      </w:r>
      <w:r w:rsidR="00F85D38">
        <w:t xml:space="preserve"> sdružení MASO se rovněž zabývalo vývojem cen hnědého uhlí na příštích deset</w:t>
      </w:r>
      <w:r w:rsidR="00F52FB3">
        <w:t xml:space="preserve"> let. Všechny ukazatele svědčí o</w:t>
      </w:r>
      <w:r w:rsidR="00F85D38">
        <w:t xml:space="preserve"> setrvalé ceně na úrovni 1 400 Kč za tunu. Největší světoví dodavatelé z Ruska, Číny, Austrálie, Ukrajiny a USA mají dostatečné zásoby, které bez problémů pokrývají světovou poptávku komodity. </w:t>
      </w:r>
      <w:r w:rsidR="00863042">
        <w:t>Vzhledem k velkému tlaku na snižování emisí CO</w:t>
      </w:r>
      <w:r w:rsidR="00863042">
        <w:rPr>
          <w:vertAlign w:val="subscript"/>
        </w:rPr>
        <w:t>2</w:t>
      </w:r>
      <w:r w:rsidR="00863042">
        <w:t xml:space="preserve"> je stavba elektráren na hnědé uhlí málo pravděpodobná, takže ke konci příští dekády lze předpokládat pokles poptávky a tím i pád ceny pod hranici 1 200 Kč za tunu.</w:t>
      </w:r>
    </w:p>
    <w:p w:rsidR="00863042" w:rsidRDefault="00863042" w:rsidP="00863042">
      <w:pPr>
        <w:spacing w:after="60" w:line="288" w:lineRule="auto"/>
        <w:jc w:val="both"/>
      </w:pPr>
      <w:r>
        <w:t xml:space="preserve">Vývoj cen </w:t>
      </w:r>
      <w:r w:rsidRPr="00AB57DD">
        <w:rPr>
          <w:b/>
        </w:rPr>
        <w:t>černého uhlí</w:t>
      </w:r>
      <w:r>
        <w:t xml:space="preserve"> v roce 2018 zaznamenal postupný vzestup spojený se zvýšenou poptávkou po komoditě, především s ohledem na požadavek kvalitnější suroviny a </w:t>
      </w:r>
      <w:r w:rsidR="00450D2C">
        <w:t>naplnění</w:t>
      </w:r>
      <w:r>
        <w:t xml:space="preserve"> předepsaných emisních limitů. V 1. čtvrtletí roku se začalo obchodovat na ceně 1 840 Kč za tunu, která ve druhém čtvrtletí vystoupala na 2 100 Kč za tunu, během léta s menší spotřebou stagnovala a ke konci tohoto roku se vyšplhala na 2 530,- Kč za tunu černého uhlí.</w:t>
      </w:r>
    </w:p>
    <w:p w:rsidR="00863042" w:rsidRDefault="00863042" w:rsidP="00863042">
      <w:pPr>
        <w:spacing w:after="60" w:line="288" w:lineRule="auto"/>
        <w:jc w:val="both"/>
      </w:pPr>
      <w:r>
        <w:t>Prognóza vývoje cen na další dekádu je zde velmi problematická. Největší světoví producenti z Ruska, Číny, Indie, Jihoafrické republiky a USA hlásí sice dostatečné zásoby komodity a ochotu pokrýt světovou poptávku, nicméně útlum hnědouhelných elektráren bude tlačit cenu černého uhlí směrem nahoru, takže za p</w:t>
      </w:r>
      <w:r w:rsidR="00450D2C">
        <w:t>ě</w:t>
      </w:r>
      <w:r>
        <w:t xml:space="preserve">t let by mohla narůst o 10 % na hodnotu </w:t>
      </w:r>
      <w:r w:rsidR="00AB57DD">
        <w:t>2 780 Kč za tunu a za deset let by mohla cena atakovat hranici 3 000 Kč za tunu černého uhlí. Vyloučit nelze ani situaci, kdy dojde k radikálnímu navýšení podílu výroby elektrické energie z obnovitelných zdrojů a potom by poklesla poptávka po černém uhlí a cena by zůstala na současné hodnotě nebo by mohla oproti současnému stavu klesnout až o 15 %.</w:t>
      </w:r>
    </w:p>
    <w:p w:rsidR="00863042" w:rsidRPr="00863042" w:rsidRDefault="00863042" w:rsidP="00863042">
      <w:pPr>
        <w:jc w:val="both"/>
      </w:pPr>
    </w:p>
    <w:p w:rsidR="00863042" w:rsidRDefault="00863042">
      <w:pPr>
        <w:sectPr w:rsidR="00863042" w:rsidSect="0086304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02885" w:rsidRPr="003066FB" w:rsidRDefault="003066FB" w:rsidP="003066FB">
      <w:pPr>
        <w:jc w:val="center"/>
        <w:rPr>
          <w:rFonts w:ascii="Arial Black" w:hAnsi="Arial Black"/>
          <w:sz w:val="28"/>
          <w:szCs w:val="28"/>
        </w:rPr>
      </w:pPr>
      <w:r w:rsidRPr="003066FB">
        <w:rPr>
          <w:rFonts w:ascii="Arial Black" w:hAnsi="Arial Black"/>
          <w:sz w:val="28"/>
          <w:szCs w:val="28"/>
        </w:rPr>
        <w:t>Zpráva o stavu ložisek a cenách ropy a zemního plynu</w:t>
      </w:r>
    </w:p>
    <w:p w:rsidR="006A08AA" w:rsidRDefault="003066FB" w:rsidP="0091338D">
      <w:pPr>
        <w:spacing w:after="360"/>
      </w:pPr>
      <w:r>
        <w:t>Vydalo Sdružení majoritních rafinérií a distributorů (SMRAD), 20. 12. 2018</w:t>
      </w:r>
    </w:p>
    <w:p w:rsidR="006A08AA" w:rsidRPr="0044596B" w:rsidRDefault="003066FB" w:rsidP="0044596B">
      <w:pPr>
        <w:spacing w:after="0" w:line="288" w:lineRule="auto"/>
        <w:ind w:firstLine="284"/>
        <w:jc w:val="both"/>
        <w:rPr>
          <w:rFonts w:ascii="Bookman Old Style" w:hAnsi="Bookman Old Style"/>
        </w:rPr>
      </w:pPr>
      <w:r>
        <w:t xml:space="preserve">Sdružení </w:t>
      </w:r>
      <w:r w:rsidRPr="0044596B">
        <w:rPr>
          <w:rFonts w:ascii="Bookman Old Style" w:hAnsi="Bookman Old Style"/>
        </w:rPr>
        <w:t xml:space="preserve">SMRAD zastupující největší těžařské a distribuční firmy provedlo analýzu stavu ložisek ropy a zemního plynu a </w:t>
      </w:r>
      <w:r w:rsidR="00CC4D85">
        <w:rPr>
          <w:rFonts w:ascii="Bookman Old Style" w:hAnsi="Bookman Old Style"/>
        </w:rPr>
        <w:t>vypracovalo</w:t>
      </w:r>
      <w:r w:rsidRPr="0044596B">
        <w:rPr>
          <w:rFonts w:ascii="Bookman Old Style" w:hAnsi="Bookman Old Style"/>
        </w:rPr>
        <w:t xml:space="preserve"> analýzu předpokládaných cen do nejbližší dekády. Analýza se odráží od současné úrovně těžby surovin, cen na světovém trhu a předpokládané poptávce po obou komoditách v příštích letech. </w:t>
      </w:r>
    </w:p>
    <w:p w:rsidR="0044596B" w:rsidRDefault="0044596B" w:rsidP="0044596B">
      <w:pPr>
        <w:spacing w:after="0" w:line="288" w:lineRule="auto"/>
        <w:ind w:firstLine="284"/>
        <w:jc w:val="both"/>
        <w:rPr>
          <w:rFonts w:ascii="Bookman Old Style" w:hAnsi="Bookman Old Style"/>
        </w:rPr>
      </w:pPr>
      <w:r w:rsidRPr="004C4980">
        <w:rPr>
          <w:rFonts w:ascii="Bookman Old Style" w:hAnsi="Bookman Old Style"/>
          <w:b/>
        </w:rPr>
        <w:t>Ropa</w:t>
      </w:r>
      <w:r>
        <w:rPr>
          <w:rFonts w:ascii="Bookman Old Style" w:hAnsi="Bookman Old Style"/>
        </w:rPr>
        <w:t xml:space="preserve"> typu BRENT začala v lednu 2018 na ceně 1 495 Kč za barel a cena zvolna rostla až do 3. čtvrtletí na hodnotu 1 955 Kč za barel. Ke konci roku 2018 zaznamenala pokles na hodnotu 1 400 Kč za barel. </w:t>
      </w:r>
      <w:r w:rsidR="006F37C4">
        <w:rPr>
          <w:rFonts w:ascii="Bookman Old Style" w:hAnsi="Bookman Old Style"/>
        </w:rPr>
        <w:t>V případě cen lehkých topných olejů (LTO) je třeba připočítat 25 % k ceně ropné suroviny.</w:t>
      </w:r>
    </w:p>
    <w:p w:rsidR="0044596B" w:rsidRDefault="0091338D" w:rsidP="0044596B">
      <w:pPr>
        <w:spacing w:after="0" w:line="288" w:lineRule="auto"/>
        <w:ind w:firstLine="284"/>
        <w:jc w:val="both"/>
        <w:rPr>
          <w:rFonts w:ascii="Bookman Old Style" w:hAnsi="Bookman Old Style"/>
        </w:rPr>
      </w:pPr>
      <w:r>
        <w:rPr>
          <w:noProof/>
          <w:lang w:eastAsia="cs-CZ"/>
        </w:rPr>
        <w:drawing>
          <wp:anchor distT="71755" distB="71755" distL="114300" distR="114300" simplePos="0" relativeHeight="25166643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3134360</wp:posOffset>
            </wp:positionV>
            <wp:extent cx="3592800" cy="1857600"/>
            <wp:effectExtent l="0" t="0" r="8255" b="9525"/>
            <wp:wrapTight wrapText="bothSides">
              <wp:wrapPolygon edited="0">
                <wp:start x="0" y="0"/>
                <wp:lineTo x="0" y="21489"/>
                <wp:lineTo x="21535" y="21489"/>
                <wp:lineTo x="21535" y="0"/>
                <wp:lineTo x="0" y="0"/>
              </wp:wrapPolygon>
            </wp:wrapTight>
            <wp:docPr id="6" name="Graf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71755" distB="71755" distL="114300" distR="114300" simplePos="0" relativeHeight="25166540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84455</wp:posOffset>
            </wp:positionV>
            <wp:extent cx="3390900" cy="1915160"/>
            <wp:effectExtent l="0" t="0" r="0" b="8890"/>
            <wp:wrapTight wrapText="bothSides">
              <wp:wrapPolygon edited="0">
                <wp:start x="0" y="0"/>
                <wp:lineTo x="0" y="21485"/>
                <wp:lineTo x="21479" y="21485"/>
                <wp:lineTo x="21479" y="0"/>
                <wp:lineTo x="0" y="0"/>
              </wp:wrapPolygon>
            </wp:wrapTight>
            <wp:docPr id="5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96B">
        <w:rPr>
          <w:rFonts w:ascii="Bookman Old Style" w:hAnsi="Bookman Old Style"/>
        </w:rPr>
        <w:t>Odhad pohybu cen na další dekádu je velmi komplikovaný. Největší světov</w:t>
      </w:r>
      <w:r w:rsidR="00CC4D85">
        <w:rPr>
          <w:rFonts w:ascii="Bookman Old Style" w:hAnsi="Bookman Old Style"/>
        </w:rPr>
        <w:t>í</w:t>
      </w:r>
      <w:r w:rsidR="0044596B">
        <w:rPr>
          <w:rFonts w:ascii="Bookman Old Style" w:hAnsi="Bookman Old Style"/>
        </w:rPr>
        <w:t xml:space="preserve"> producenti z USA, Ruska, Venezuely</w:t>
      </w:r>
      <w:r w:rsidR="00CC4D85">
        <w:rPr>
          <w:rFonts w:ascii="Bookman Old Style" w:hAnsi="Bookman Old Style"/>
        </w:rPr>
        <w:t>,</w:t>
      </w:r>
      <w:r w:rsidR="0044596B">
        <w:rPr>
          <w:rFonts w:ascii="Bookman Old Style" w:hAnsi="Bookman Old Style"/>
        </w:rPr>
        <w:t xml:space="preserve"> Irá</w:t>
      </w:r>
      <w:r w:rsidR="001D76FD">
        <w:rPr>
          <w:rFonts w:ascii="Bookman Old Style" w:hAnsi="Bookman Old Style"/>
        </w:rPr>
        <w:t>ku, Saudské Arábie a Spojených a</w:t>
      </w:r>
      <w:r w:rsidR="0044596B">
        <w:rPr>
          <w:rFonts w:ascii="Bookman Old Style" w:hAnsi="Bookman Old Style"/>
        </w:rPr>
        <w:t xml:space="preserve">rabských emirátů striktně kontrolují svoji těžbu a podnikají kroky k zachování ceny ropy, zejména omezováním její těžby. Při současném stavu světové spotřeby jsou ve známých ložiscích uloženy zásoby na zhruba 60 let. </w:t>
      </w:r>
      <w:r w:rsidR="00F71B22">
        <w:rPr>
          <w:rFonts w:ascii="Bookman Old Style" w:hAnsi="Bookman Old Style"/>
        </w:rPr>
        <w:t xml:space="preserve">Lze však předpokládat zvýšenou poptávku po ropě, takže v horizontu 5 let by cena mohla stoupnout na hodnotu 2 300 Kč za barel a na konci dekády by to mohlo být až 3 000 Kč za barel. Výkyvy cen ropy jsou velmi rychlé a velmi citlivě reagují na politicko-ekonomickou situaci. V případě většího vojenského konfliktu může cena vzrůst až o </w:t>
      </w:r>
      <w:r w:rsidR="00CC4D85">
        <w:rPr>
          <w:rFonts w:ascii="Bookman Old Style" w:hAnsi="Bookman Old Style"/>
        </w:rPr>
        <w:t>20</w:t>
      </w:r>
      <w:r w:rsidR="00F71B22">
        <w:rPr>
          <w:rFonts w:ascii="Bookman Old Style" w:hAnsi="Bookman Old Style"/>
        </w:rPr>
        <w:t>0 %.</w:t>
      </w:r>
      <w:r w:rsidRPr="0091338D">
        <w:rPr>
          <w:noProof/>
          <w:lang w:eastAsia="cs-CZ"/>
        </w:rPr>
        <w:t xml:space="preserve"> </w:t>
      </w:r>
    </w:p>
    <w:p w:rsidR="00F71B22" w:rsidRDefault="00B15F56" w:rsidP="0044596B">
      <w:pPr>
        <w:spacing w:after="0" w:line="288" w:lineRule="auto"/>
        <w:ind w:firstLine="284"/>
        <w:jc w:val="both"/>
        <w:rPr>
          <w:rFonts w:ascii="Bookman Old Style" w:hAnsi="Bookman Old Style"/>
        </w:rPr>
      </w:pPr>
      <w:r w:rsidRPr="004C4980">
        <w:rPr>
          <w:rFonts w:ascii="Bookman Old Style" w:hAnsi="Bookman Old Style"/>
          <w:b/>
        </w:rPr>
        <w:t>Zemní plyn</w:t>
      </w:r>
      <w:r>
        <w:rPr>
          <w:rFonts w:ascii="Bookman Old Style" w:hAnsi="Bookman Old Style"/>
        </w:rPr>
        <w:t xml:space="preserve"> se začal v roce 2018 obchodovat na ceně 2,5</w:t>
      </w:r>
      <w:r w:rsidR="00CC4D85">
        <w:rPr>
          <w:rFonts w:ascii="Bookman Old Style" w:hAnsi="Bookman Old Style"/>
        </w:rPr>
        <w:t> </w:t>
      </w:r>
      <w:r>
        <w:rPr>
          <w:rFonts w:ascii="Bookman Old Style" w:hAnsi="Bookman Old Style"/>
        </w:rPr>
        <w:t>Kč za m</w:t>
      </w:r>
      <w:r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>, v 2. čtvrtletí klesl na částku 2 Kč za m</w:t>
      </w:r>
      <w:r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 xml:space="preserve"> a do konce roku 2018 se cena vyšplhala na 3,5 Kč za m</w:t>
      </w:r>
      <w:r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 xml:space="preserve">. </w:t>
      </w:r>
    </w:p>
    <w:p w:rsidR="00B15F56" w:rsidRDefault="00B15F56" w:rsidP="0044596B">
      <w:pPr>
        <w:spacing w:after="0" w:line="288" w:lineRule="auto"/>
        <w:ind w:firstLine="28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Odhad cen na příštích deset let je podobně jako u ropy složitý, i když plyn nereaguje tak citlivě na politickou situaci ve světě. Hlavní producenti z Ruska, USA, Kanady, Norska, Alžírska a Saudské Arábie</w:t>
      </w:r>
      <w:r w:rsidR="004C4980">
        <w:rPr>
          <w:rFonts w:ascii="Bookman Old Style" w:hAnsi="Bookman Old Style"/>
        </w:rPr>
        <w:t xml:space="preserve"> nezaznamenali v posledních letech vážnější výpadek dodávek a zásoby komodity jsou spočteny na asi 120 let při současné spotřebě. Není rovněž vyloučeno, že budou další ložiska zemního plynu ještě objevena. Do 5 let se nepředpokládá výraznější růst ceny, maximálně na 4 Kč za m</w:t>
      </w:r>
      <w:r w:rsidR="004C4980">
        <w:rPr>
          <w:rFonts w:ascii="Bookman Old Style" w:hAnsi="Bookman Old Style"/>
          <w:vertAlign w:val="superscript"/>
        </w:rPr>
        <w:t>3</w:t>
      </w:r>
      <w:r w:rsidR="004C4980">
        <w:rPr>
          <w:rFonts w:ascii="Bookman Old Style" w:hAnsi="Bookman Old Style"/>
        </w:rPr>
        <w:t>, ke konci dekády by to mohlo být kolem 5 Kč za m</w:t>
      </w:r>
      <w:r w:rsidR="004C4980">
        <w:rPr>
          <w:rFonts w:ascii="Bookman Old Style" w:hAnsi="Bookman Old Style"/>
          <w:vertAlign w:val="superscript"/>
        </w:rPr>
        <w:t>3</w:t>
      </w:r>
      <w:r w:rsidR="004C4980">
        <w:rPr>
          <w:rFonts w:ascii="Bookman Old Style" w:hAnsi="Bookman Old Style"/>
        </w:rPr>
        <w:t>.</w:t>
      </w:r>
    </w:p>
    <w:p w:rsidR="0091338D" w:rsidRPr="004C4980" w:rsidRDefault="0091338D" w:rsidP="0044596B">
      <w:pPr>
        <w:spacing w:after="0" w:line="288" w:lineRule="auto"/>
        <w:ind w:firstLine="284"/>
        <w:jc w:val="both"/>
        <w:rPr>
          <w:rFonts w:ascii="Bookman Old Style" w:hAnsi="Bookman Old Style"/>
        </w:rPr>
      </w:pPr>
    </w:p>
    <w:p w:rsidR="006A08AA" w:rsidRPr="00FB653A" w:rsidRDefault="00FB653A" w:rsidP="004432D9">
      <w:pPr>
        <w:shd w:val="clear" w:color="auto" w:fill="F7CAAC" w:themeFill="accent2" w:themeFillTint="66"/>
        <w:jc w:val="right"/>
        <w:rPr>
          <w:rFonts w:ascii="Bookman Old Style" w:hAnsi="Bookman Old Style"/>
          <w:sz w:val="24"/>
          <w:szCs w:val="24"/>
        </w:rPr>
      </w:pPr>
      <w:r w:rsidRPr="00FB653A">
        <w:rPr>
          <w:rFonts w:ascii="Bookman Old Style" w:hAnsi="Bookman Old Style"/>
          <w:sz w:val="24"/>
          <w:szCs w:val="24"/>
        </w:rPr>
        <w:t>JOULE, energetický magazín, duben 2017</w:t>
      </w:r>
    </w:p>
    <w:p w:rsidR="00FB653A" w:rsidRPr="004432D9" w:rsidRDefault="004432D9" w:rsidP="00BE334E">
      <w:pPr>
        <w:jc w:val="center"/>
        <w:rPr>
          <w:color w:val="2E74B5" w:themeColor="accent1" w:themeShade="BF"/>
          <w:sz w:val="36"/>
          <w:szCs w:val="36"/>
        </w:rPr>
      </w:pPr>
      <w:r w:rsidRPr="004432D9">
        <w:rPr>
          <w:color w:val="2E74B5" w:themeColor="accent1" w:themeShade="BF"/>
          <w:sz w:val="36"/>
          <w:szCs w:val="36"/>
        </w:rPr>
        <w:t xml:space="preserve">Téma měsíce: </w:t>
      </w:r>
      <w:r w:rsidR="00D66FA8">
        <w:rPr>
          <w:color w:val="2E74B5" w:themeColor="accent1" w:themeShade="BF"/>
          <w:sz w:val="36"/>
          <w:szCs w:val="36"/>
        </w:rPr>
        <w:t>Proč stále používáme tepelné</w:t>
      </w:r>
      <w:r w:rsidR="00FB653A" w:rsidRPr="004432D9">
        <w:rPr>
          <w:color w:val="2E74B5" w:themeColor="accent1" w:themeShade="BF"/>
          <w:sz w:val="36"/>
          <w:szCs w:val="36"/>
        </w:rPr>
        <w:t xml:space="preserve"> elektrárny?</w:t>
      </w:r>
    </w:p>
    <w:p w:rsidR="00BE334E" w:rsidRDefault="004432D9" w:rsidP="00C6488E">
      <w:pPr>
        <w:spacing w:after="0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Tepelné elektrárny, míněno zařízení spalující uhlí, plyn nebo ropné oleje, jsou jedním z předních producentů skleníkových plynů, zejména CO</w:t>
      </w:r>
      <w:r>
        <w:rPr>
          <w:sz w:val="24"/>
          <w:szCs w:val="24"/>
          <w:vertAlign w:val="subscript"/>
        </w:rPr>
        <w:t>2</w:t>
      </w:r>
      <w:r w:rsidR="001647FB">
        <w:rPr>
          <w:sz w:val="24"/>
          <w:szCs w:val="24"/>
        </w:rPr>
        <w:t>,</w:t>
      </w:r>
      <w:r>
        <w:rPr>
          <w:sz w:val="24"/>
          <w:szCs w:val="24"/>
        </w:rPr>
        <w:t xml:space="preserve"> oxidů síry</w:t>
      </w:r>
      <w:r w:rsidR="001647FB">
        <w:rPr>
          <w:sz w:val="24"/>
          <w:szCs w:val="24"/>
        </w:rPr>
        <w:t xml:space="preserve"> a dusíku</w:t>
      </w:r>
      <w:r>
        <w:rPr>
          <w:sz w:val="24"/>
          <w:szCs w:val="24"/>
        </w:rPr>
        <w:t>. Nezanedbatelný je u uhelných elektráren také příspěvek pevných částic vypouštěných do atmosféry. Všichni víme, jaké škody provoz těchto zařízení působí, ale žádná viditelná opatření se nepodnika</w:t>
      </w:r>
      <w:r w:rsidR="007F2023">
        <w:rPr>
          <w:sz w:val="24"/>
          <w:szCs w:val="24"/>
        </w:rPr>
        <w:t>jí. Není přece nic jednoduššího</w:t>
      </w:r>
      <w:r>
        <w:rPr>
          <w:sz w:val="24"/>
          <w:szCs w:val="24"/>
        </w:rPr>
        <w:t xml:space="preserve"> než výrobu energie z těchto zdrojů omezit nebo zastavit.</w:t>
      </w:r>
    </w:p>
    <w:p w:rsidR="004432D9" w:rsidRDefault="009E0D28" w:rsidP="00C6488E">
      <w:pPr>
        <w:spacing w:after="240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Jenže, </w:t>
      </w:r>
      <w:r w:rsidR="004432D9">
        <w:rPr>
          <w:sz w:val="24"/>
          <w:szCs w:val="24"/>
        </w:rPr>
        <w:t>podíváme-li se do statistik, tyto spalovací technologie nám dodávají téměř polovinu světové produkce elektrické energie. Je tedy</w:t>
      </w:r>
      <w:r w:rsidR="00C6488E">
        <w:rPr>
          <w:sz w:val="24"/>
          <w:szCs w:val="24"/>
        </w:rPr>
        <w:t xml:space="preserve"> řešení skutečně tak jednoduché? Nebo je celý problém výrazně složitější, než by se zdálo?</w:t>
      </w:r>
      <w:r w:rsidR="004432D9">
        <w:rPr>
          <w:sz w:val="24"/>
          <w:szCs w:val="24"/>
        </w:rPr>
        <w:t xml:space="preserve"> Odpověď na </w:t>
      </w:r>
      <w:r w:rsidR="00C6488E">
        <w:rPr>
          <w:sz w:val="24"/>
          <w:szCs w:val="24"/>
        </w:rPr>
        <w:t>tyto a jiné</w:t>
      </w:r>
      <w:r w:rsidR="004432D9">
        <w:rPr>
          <w:sz w:val="24"/>
          <w:szCs w:val="24"/>
        </w:rPr>
        <w:t xml:space="preserve"> otázk</w:t>
      </w:r>
      <w:r w:rsidR="00C6488E">
        <w:rPr>
          <w:sz w:val="24"/>
          <w:szCs w:val="24"/>
        </w:rPr>
        <w:t>y</w:t>
      </w:r>
      <w:r w:rsidR="004432D9">
        <w:rPr>
          <w:sz w:val="24"/>
          <w:szCs w:val="24"/>
        </w:rPr>
        <w:t xml:space="preserve"> nám pomůže najít přední odborník v oblasti energetiky Doc. Ing. </w:t>
      </w:r>
      <w:r w:rsidR="00C6488E">
        <w:rPr>
          <w:sz w:val="24"/>
          <w:szCs w:val="24"/>
        </w:rPr>
        <w:t xml:space="preserve">Mirek </w:t>
      </w:r>
      <w:proofErr w:type="spellStart"/>
      <w:r w:rsidR="00C6488E">
        <w:rPr>
          <w:sz w:val="24"/>
          <w:szCs w:val="24"/>
        </w:rPr>
        <w:t>Methan</w:t>
      </w:r>
      <w:proofErr w:type="spellEnd"/>
      <w:r w:rsidR="00C6488E">
        <w:rPr>
          <w:sz w:val="24"/>
          <w:szCs w:val="24"/>
        </w:rPr>
        <w:t>, CSc. z Národního energetického institutu.</w:t>
      </w:r>
    </w:p>
    <w:p w:rsidR="00C6488E" w:rsidRDefault="00C6488E" w:rsidP="00C6488E">
      <w:pPr>
        <w:spacing w:after="0"/>
        <w:ind w:firstLine="425"/>
        <w:jc w:val="both"/>
        <w:rPr>
          <w:sz w:val="24"/>
          <w:szCs w:val="24"/>
        </w:rPr>
        <w:sectPr w:rsidR="00C6488E" w:rsidSect="0086304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6488E" w:rsidRPr="00C6488E" w:rsidRDefault="005D6B0B" w:rsidP="0008524D">
      <w:pPr>
        <w:pBdr>
          <w:left w:val="single" w:sz="4" w:space="4" w:color="auto"/>
        </w:pBdr>
        <w:spacing w:after="1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Dobrý den, pane</w:t>
      </w:r>
      <w:r w:rsidR="00C6488E" w:rsidRPr="00C6488E">
        <w:rPr>
          <w:rFonts w:ascii="Verdana" w:hAnsi="Verdana"/>
          <w:sz w:val="24"/>
          <w:szCs w:val="24"/>
        </w:rPr>
        <w:t xml:space="preserve"> docente, hned na úvod bych se ráda zeptala, proč jsou tepelné elektrárny tak škodlivé pro naše prostředí?</w:t>
      </w:r>
    </w:p>
    <w:p w:rsidR="00C6488E" w:rsidRDefault="00C6488E" w:rsidP="00C6488E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 w:rsidRPr="00C6488E">
        <w:rPr>
          <w:rFonts w:asciiTheme="majorHAnsi" w:hAnsiTheme="majorHAnsi" w:cstheme="majorHAnsi"/>
          <w:sz w:val="24"/>
          <w:szCs w:val="24"/>
        </w:rPr>
        <w:t>V prvé řadě si musíme říci, co to vlastně tepelná elektrárna je. Toto zařízení vyrábí elektrický proud přeměnou tepelné energie na rotační pohyb v generátoru. Toto teplo může pocházet z různých zdrojů, ale nejčastěji vzniká cíleným spalováním některých přírodních materiálů – nerostných surovin.</w:t>
      </w:r>
    </w:p>
    <w:p w:rsidR="00C6488E" w:rsidRPr="00C6488E" w:rsidRDefault="00C6488E" w:rsidP="0008524D">
      <w:pPr>
        <w:pBdr>
          <w:left w:val="single" w:sz="4" w:space="4" w:color="auto"/>
        </w:pBdr>
        <w:spacing w:after="120"/>
        <w:jc w:val="both"/>
        <w:rPr>
          <w:rFonts w:ascii="Verdana" w:hAnsi="Verdana"/>
          <w:sz w:val="24"/>
          <w:szCs w:val="24"/>
        </w:rPr>
      </w:pPr>
      <w:r w:rsidRPr="00C6488E">
        <w:rPr>
          <w:rFonts w:ascii="Verdana" w:hAnsi="Verdana"/>
          <w:sz w:val="24"/>
          <w:szCs w:val="24"/>
        </w:rPr>
        <w:t>O jaké suroviny se nejčastěji jedná a které z nich jsou nejvíce používané?</w:t>
      </w:r>
    </w:p>
    <w:p w:rsidR="00C6488E" w:rsidRDefault="00C6488E" w:rsidP="00C6488E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Nejčastěji jsou spalovány různé typy uhlí. Nejhorší kvalitu a tepelný zisk má lignit</w:t>
      </w:r>
      <w:r w:rsidR="00530CAD">
        <w:rPr>
          <w:rFonts w:asciiTheme="majorHAnsi" w:hAnsiTheme="majorHAnsi" w:cstheme="majorHAnsi"/>
          <w:sz w:val="24"/>
          <w:szCs w:val="24"/>
        </w:rPr>
        <w:t>, nejčastěji používané je hnědé uhlí a největší energetickou výtěžnost má černé uhlí. Kromě této suroviny může být spalována biomasa. Spalované suroviny však nemusí být jen pevné, ale používá se i zemní plyn (obsahuje převážně metan) a topné oleje získávané z ropy.</w:t>
      </w:r>
    </w:p>
    <w:p w:rsidR="00530CAD" w:rsidRPr="00E424D1" w:rsidRDefault="00E424D1" w:rsidP="0008524D">
      <w:pPr>
        <w:pBdr>
          <w:left w:val="single" w:sz="4" w:space="4" w:color="auto"/>
        </w:pBdr>
        <w:spacing w:after="120"/>
        <w:jc w:val="both"/>
        <w:rPr>
          <w:rFonts w:ascii="Verdana" w:hAnsi="Verdana"/>
          <w:sz w:val="24"/>
          <w:szCs w:val="24"/>
        </w:rPr>
      </w:pPr>
      <w:r w:rsidRPr="00E424D1">
        <w:rPr>
          <w:rFonts w:ascii="Verdana" w:hAnsi="Verdana"/>
          <w:sz w:val="24"/>
          <w:szCs w:val="24"/>
        </w:rPr>
        <w:t xml:space="preserve">Co tedy nejvíce </w:t>
      </w:r>
      <w:r>
        <w:rPr>
          <w:rFonts w:ascii="Verdana" w:hAnsi="Verdana"/>
          <w:sz w:val="24"/>
          <w:szCs w:val="24"/>
        </w:rPr>
        <w:t xml:space="preserve">negativně </w:t>
      </w:r>
      <w:r w:rsidRPr="00E424D1">
        <w:rPr>
          <w:rFonts w:ascii="Verdana" w:hAnsi="Verdana"/>
          <w:sz w:val="24"/>
          <w:szCs w:val="24"/>
        </w:rPr>
        <w:t>ovlivňuje naše životní prostředí při spalování těchto surovin?</w:t>
      </w:r>
    </w:p>
    <w:p w:rsidR="00E424D1" w:rsidRDefault="00E424D1" w:rsidP="00C6488E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Pokud vezmeme uhlí, je to surovina obsahující 50-80 % uhlíku. Spálením jedné tuny uhlíku vznikne asi 3,6 tuny oxidu uhličitého a ten je vypuštěn do atmosféry. Oxid uhličitý je významný skleníkový plyn, který se podílí na oteplování klimatu planety. O trochu lepší situace je při spalování topných olejů a zemního plynu, zde je produkce CO</w:t>
      </w:r>
      <w:r>
        <w:rPr>
          <w:rFonts w:asciiTheme="majorHAnsi" w:hAnsiTheme="majorHAnsi" w:cstheme="majorHAnsi"/>
          <w:sz w:val="24"/>
          <w:szCs w:val="24"/>
          <w:vertAlign w:val="subscript"/>
        </w:rPr>
        <w:t>2</w:t>
      </w:r>
      <w:r>
        <w:rPr>
          <w:rFonts w:asciiTheme="majorHAnsi" w:hAnsiTheme="majorHAnsi" w:cstheme="majorHAnsi"/>
          <w:sz w:val="24"/>
          <w:szCs w:val="24"/>
        </w:rPr>
        <w:t xml:space="preserve"> asi poloviční.</w:t>
      </w:r>
    </w:p>
    <w:p w:rsidR="00E424D1" w:rsidRPr="00E424D1" w:rsidRDefault="00E424D1" w:rsidP="0008524D">
      <w:pPr>
        <w:pBdr>
          <w:left w:val="single" w:sz="4" w:space="4" w:color="auto"/>
        </w:pBdr>
        <w:spacing w:after="120"/>
        <w:jc w:val="both"/>
        <w:rPr>
          <w:rFonts w:ascii="Verdana" w:hAnsi="Verdana"/>
          <w:sz w:val="24"/>
          <w:szCs w:val="24"/>
        </w:rPr>
      </w:pPr>
      <w:r w:rsidRPr="00E424D1">
        <w:rPr>
          <w:rFonts w:ascii="Verdana" w:hAnsi="Verdana"/>
          <w:sz w:val="24"/>
          <w:szCs w:val="24"/>
        </w:rPr>
        <w:t>V čem je tedy lepší biomas</w:t>
      </w:r>
      <w:r w:rsidR="001647FB">
        <w:rPr>
          <w:rFonts w:ascii="Verdana" w:hAnsi="Verdana"/>
          <w:sz w:val="24"/>
          <w:szCs w:val="24"/>
        </w:rPr>
        <w:t>a</w:t>
      </w:r>
      <w:r w:rsidRPr="00E424D1">
        <w:rPr>
          <w:rFonts w:ascii="Verdana" w:hAnsi="Verdana"/>
          <w:sz w:val="24"/>
          <w:szCs w:val="24"/>
        </w:rPr>
        <w:t xml:space="preserve">, </w:t>
      </w:r>
      <w:r w:rsidR="001647FB">
        <w:rPr>
          <w:rFonts w:ascii="Verdana" w:hAnsi="Verdana"/>
          <w:sz w:val="24"/>
          <w:szCs w:val="24"/>
        </w:rPr>
        <w:t xml:space="preserve">při jejím spalování se </w:t>
      </w:r>
      <w:r w:rsidRPr="00E424D1">
        <w:rPr>
          <w:rFonts w:ascii="Verdana" w:hAnsi="Verdana"/>
          <w:sz w:val="24"/>
          <w:szCs w:val="24"/>
        </w:rPr>
        <w:t>také</w:t>
      </w:r>
      <w:r w:rsidR="001647FB">
        <w:rPr>
          <w:rFonts w:ascii="Verdana" w:hAnsi="Verdana"/>
          <w:sz w:val="24"/>
          <w:szCs w:val="24"/>
        </w:rPr>
        <w:t xml:space="preserve"> </w:t>
      </w:r>
      <w:r w:rsidRPr="00E424D1">
        <w:rPr>
          <w:rFonts w:ascii="Verdana" w:hAnsi="Verdana"/>
          <w:sz w:val="24"/>
          <w:szCs w:val="24"/>
        </w:rPr>
        <w:t>uvolňuje CO</w:t>
      </w:r>
      <w:r w:rsidRPr="00120906">
        <w:rPr>
          <w:rFonts w:ascii="Verdana" w:hAnsi="Verdana"/>
          <w:sz w:val="24"/>
          <w:szCs w:val="24"/>
          <w:vertAlign w:val="subscript"/>
        </w:rPr>
        <w:t>2</w:t>
      </w:r>
      <w:r w:rsidRPr="00E424D1">
        <w:rPr>
          <w:rFonts w:ascii="Verdana" w:hAnsi="Verdana"/>
          <w:sz w:val="24"/>
          <w:szCs w:val="24"/>
        </w:rPr>
        <w:t>?</w:t>
      </w:r>
    </w:p>
    <w:p w:rsidR="00E424D1" w:rsidRDefault="00120906" w:rsidP="00C6488E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Biomasa jsou rychle rostoucí plodiny, které odebírají z atmosféry oxid uhličitý a zabudovávají ho během fotosyntézy do svých těl. </w:t>
      </w:r>
      <w:r w:rsidR="00250F3C">
        <w:rPr>
          <w:rFonts w:asciiTheme="majorHAnsi" w:hAnsiTheme="majorHAnsi" w:cstheme="majorHAnsi"/>
          <w:sz w:val="24"/>
          <w:szCs w:val="24"/>
        </w:rPr>
        <w:t>My je pak spálíme a CO</w:t>
      </w:r>
      <w:r w:rsidR="00250F3C">
        <w:rPr>
          <w:rFonts w:asciiTheme="majorHAnsi" w:hAnsiTheme="majorHAnsi" w:cstheme="majorHAnsi"/>
          <w:sz w:val="24"/>
          <w:szCs w:val="24"/>
          <w:vertAlign w:val="subscript"/>
        </w:rPr>
        <w:t xml:space="preserve">2 </w:t>
      </w:r>
      <w:r w:rsidR="00250F3C">
        <w:rPr>
          <w:rFonts w:asciiTheme="majorHAnsi" w:hAnsiTheme="majorHAnsi" w:cstheme="majorHAnsi"/>
          <w:sz w:val="24"/>
          <w:szCs w:val="24"/>
        </w:rPr>
        <w:t xml:space="preserve">vrátíme do ovzduší – je to takový krátkodobý uzavřený cyklus. Uhelná hmota však představuje uhlík uložený do země před mnoha milióny let a ten my dnes ve velkém množství vracíme do atmosféry, </w:t>
      </w:r>
      <w:r w:rsidR="001647FB">
        <w:rPr>
          <w:rFonts w:asciiTheme="majorHAnsi" w:hAnsiTheme="majorHAnsi" w:cstheme="majorHAnsi"/>
          <w:sz w:val="24"/>
          <w:szCs w:val="24"/>
        </w:rPr>
        <w:t>a tím</w:t>
      </w:r>
      <w:r w:rsidR="00250F3C">
        <w:rPr>
          <w:rFonts w:asciiTheme="majorHAnsi" w:hAnsiTheme="majorHAnsi" w:cstheme="majorHAnsi"/>
          <w:sz w:val="24"/>
          <w:szCs w:val="24"/>
        </w:rPr>
        <w:t xml:space="preserve"> narušujeme současnou rovnováhu.</w:t>
      </w:r>
    </w:p>
    <w:p w:rsidR="00250F3C" w:rsidRPr="00250F3C" w:rsidRDefault="00250F3C" w:rsidP="0008524D">
      <w:pPr>
        <w:pBdr>
          <w:left w:val="single" w:sz="4" w:space="4" w:color="auto"/>
        </w:pBdr>
        <w:spacing w:after="120"/>
        <w:jc w:val="both"/>
        <w:rPr>
          <w:rFonts w:ascii="Verdana" w:hAnsi="Verdana"/>
          <w:sz w:val="24"/>
          <w:szCs w:val="24"/>
        </w:rPr>
      </w:pPr>
      <w:r w:rsidRPr="00250F3C">
        <w:rPr>
          <w:rFonts w:ascii="Verdana" w:hAnsi="Verdana"/>
          <w:sz w:val="24"/>
          <w:szCs w:val="24"/>
        </w:rPr>
        <w:t>Čím ještě škodí tepelné elektrárny našemu životnímu prostředí?</w:t>
      </w:r>
    </w:p>
    <w:p w:rsidR="00BF59E3" w:rsidRDefault="00250F3C" w:rsidP="00C6488E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Zde musíme rozlišovat elektrárny podle paliva. Uhelné elektrárny je potřeba zásobovat uhlím, ročně to může být až 3 milióny tun. Toto množství musíte nejen </w:t>
      </w:r>
    </w:p>
    <w:p w:rsidR="00BF59E3" w:rsidRDefault="00BF59E3" w:rsidP="00BF59E3">
      <w:pPr>
        <w:shd w:val="clear" w:color="auto" w:fill="F7CAAC" w:themeFill="accent2" w:themeFillTint="66"/>
        <w:jc w:val="right"/>
        <w:rPr>
          <w:rFonts w:ascii="Bookman Old Style" w:hAnsi="Bookman Old Style"/>
          <w:sz w:val="24"/>
          <w:szCs w:val="24"/>
        </w:rPr>
        <w:sectPr w:rsidR="00BF59E3" w:rsidSect="00C6488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F59E3" w:rsidRPr="00FB653A" w:rsidRDefault="00BF59E3" w:rsidP="00BF59E3">
      <w:pPr>
        <w:shd w:val="clear" w:color="auto" w:fill="F7CAAC" w:themeFill="accent2" w:themeFillTint="66"/>
        <w:jc w:val="right"/>
        <w:rPr>
          <w:rFonts w:ascii="Bookman Old Style" w:hAnsi="Bookman Old Style"/>
          <w:sz w:val="24"/>
          <w:szCs w:val="24"/>
        </w:rPr>
      </w:pPr>
      <w:r w:rsidRPr="00FB653A">
        <w:rPr>
          <w:rFonts w:ascii="Bookman Old Style" w:hAnsi="Bookman Old Style"/>
          <w:sz w:val="24"/>
          <w:szCs w:val="24"/>
        </w:rPr>
        <w:t>JOULE, energetický magazín, duben 2017</w:t>
      </w:r>
    </w:p>
    <w:p w:rsidR="00BF59E3" w:rsidRDefault="00BF59E3" w:rsidP="00C6488E">
      <w:pPr>
        <w:spacing w:after="120"/>
        <w:jc w:val="both"/>
        <w:rPr>
          <w:rFonts w:asciiTheme="majorHAnsi" w:hAnsiTheme="majorHAnsi" w:cstheme="majorHAnsi"/>
          <w:sz w:val="24"/>
          <w:szCs w:val="24"/>
        </w:rPr>
        <w:sectPr w:rsidR="00BF59E3" w:rsidSect="00BF59E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50F3C" w:rsidRDefault="00250F3C" w:rsidP="00C6488E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 elektrárně navozit, ale nejprve ho musíte vytěžit a upravit. A to jsou technologie spojené se vznikem prachu, hluku a zásahy do okolní krajiny. Navíc spálením uhlí nevznikají jen oxidy uhlíku, ale i oxidy síry, dusíku a další plynné exhalace. Kromě toho vzniká velké množství škváry a popílku. Tady je ale potřeba upozornit, že nově budované uhelné elektrárny mají velmi účinné odlučovače popílku a díky technologii spalování ve fluidním loži jsou výrazně omezeny </w:t>
      </w:r>
      <w:r w:rsidR="00B03A85">
        <w:rPr>
          <w:rFonts w:asciiTheme="majorHAnsi" w:hAnsiTheme="majorHAnsi" w:cstheme="majorHAnsi"/>
          <w:sz w:val="24"/>
          <w:szCs w:val="24"/>
        </w:rPr>
        <w:t xml:space="preserve">také </w:t>
      </w:r>
      <w:r>
        <w:rPr>
          <w:rFonts w:asciiTheme="majorHAnsi" w:hAnsiTheme="majorHAnsi" w:cstheme="majorHAnsi"/>
          <w:sz w:val="24"/>
          <w:szCs w:val="24"/>
        </w:rPr>
        <w:t>emise oxidů síry.</w:t>
      </w:r>
    </w:p>
    <w:p w:rsidR="00250F3C" w:rsidRPr="00250F3C" w:rsidRDefault="00250F3C" w:rsidP="0008524D">
      <w:pPr>
        <w:pBdr>
          <w:left w:val="single" w:sz="4" w:space="4" w:color="auto"/>
        </w:pBdr>
        <w:spacing w:after="120"/>
        <w:jc w:val="both"/>
        <w:rPr>
          <w:rFonts w:ascii="Verdana" w:hAnsi="Verdana"/>
          <w:sz w:val="24"/>
          <w:szCs w:val="24"/>
        </w:rPr>
      </w:pPr>
      <w:r w:rsidRPr="00250F3C">
        <w:rPr>
          <w:rFonts w:ascii="Verdana" w:hAnsi="Verdana"/>
          <w:sz w:val="24"/>
          <w:szCs w:val="24"/>
        </w:rPr>
        <w:t>To byly uhelné elektrárny, jak je to s elektrárnami, které spalují zemní plyn?</w:t>
      </w:r>
    </w:p>
    <w:p w:rsidR="00250F3C" w:rsidRDefault="00250F3C" w:rsidP="00C6488E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Paroplynové elektrárny </w:t>
      </w:r>
      <w:r w:rsidR="00091E08">
        <w:rPr>
          <w:rFonts w:asciiTheme="majorHAnsi" w:hAnsiTheme="majorHAnsi" w:cstheme="majorHAnsi"/>
          <w:sz w:val="24"/>
          <w:szCs w:val="24"/>
        </w:rPr>
        <w:t>spalující zemní plyn produkují oproti uhelným elektrárnám jen poloviční množství emisí CO</w:t>
      </w:r>
      <w:r w:rsidR="00091E08">
        <w:rPr>
          <w:rFonts w:asciiTheme="majorHAnsi" w:hAnsiTheme="majorHAnsi" w:cstheme="majorHAnsi"/>
          <w:sz w:val="24"/>
          <w:szCs w:val="24"/>
          <w:vertAlign w:val="subscript"/>
        </w:rPr>
        <w:t>2</w:t>
      </w:r>
      <w:r w:rsidR="00091E08">
        <w:rPr>
          <w:rFonts w:asciiTheme="majorHAnsi" w:hAnsiTheme="majorHAnsi" w:cstheme="majorHAnsi"/>
          <w:sz w:val="24"/>
          <w:szCs w:val="24"/>
        </w:rPr>
        <w:t>, o 70 % méně oxidů síry a prakticky žádný popílek. Navíc mají mnohem větší účinnost. Také dopravní zásobení je mnohem přívětivější k životnímu prostředí, stačí jen jedno přívodní potrubí, které lze zapustit do země.</w:t>
      </w:r>
    </w:p>
    <w:p w:rsidR="00091E08" w:rsidRPr="00091E08" w:rsidRDefault="00091E08" w:rsidP="0008524D">
      <w:pPr>
        <w:pBdr>
          <w:left w:val="single" w:sz="4" w:space="4" w:color="auto"/>
        </w:pBdr>
        <w:spacing w:after="120"/>
        <w:jc w:val="both"/>
        <w:rPr>
          <w:rFonts w:ascii="Verdana" w:hAnsi="Verdana"/>
          <w:sz w:val="24"/>
          <w:szCs w:val="24"/>
        </w:rPr>
      </w:pPr>
      <w:r w:rsidRPr="00091E08">
        <w:rPr>
          <w:rFonts w:ascii="Verdana" w:hAnsi="Verdana"/>
          <w:sz w:val="24"/>
          <w:szCs w:val="24"/>
        </w:rPr>
        <w:t>Je vcelku jasné, že uhelné a méně i paroplynové elektrárny poškozují životní prostředí. Proč se jich tedy nevzdáme a nevyrábíme elektřinu jiným způsobem?</w:t>
      </w:r>
    </w:p>
    <w:p w:rsidR="00091E08" w:rsidRDefault="002D2683" w:rsidP="003F19A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 hlediska životního prostředí by to byl vynikající počin, ale na misku vah musíme ještě položit některé argumenty hovořící pro využívání uhelných a paroplynových elektráren.</w:t>
      </w:r>
    </w:p>
    <w:p w:rsidR="002D2683" w:rsidRDefault="002D2683" w:rsidP="003F19A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V prvé řadě je uhelná elektrárna obrovským zdrojem energie zaujímající poměrně malou plochu. Její vhodným umístěním můžeme minimalizovat i dopravní vzdálenost suroviny. Běžná uhelná elektrárna s 2-4 výrobními bloky má výkon kolem 1000 MW, takže vyrobí ročně až 8,5 </w:t>
      </w:r>
      <w:proofErr w:type="spellStart"/>
      <w:r>
        <w:rPr>
          <w:rFonts w:asciiTheme="majorHAnsi" w:hAnsiTheme="majorHAnsi" w:cstheme="majorHAnsi"/>
          <w:sz w:val="24"/>
          <w:szCs w:val="24"/>
        </w:rPr>
        <w:t>TWh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elektrické energie, tj. asi 10 % roční spotřeby České republiky.</w:t>
      </w:r>
      <w:r w:rsidR="00BF59E3">
        <w:rPr>
          <w:rFonts w:asciiTheme="majorHAnsi" w:hAnsiTheme="majorHAnsi" w:cstheme="majorHAnsi"/>
          <w:sz w:val="24"/>
          <w:szCs w:val="24"/>
        </w:rPr>
        <w:t xml:space="preserve"> Navíc je tento výkon stabilní, bez výkyvů v dodávce. </w:t>
      </w:r>
      <w:r w:rsidR="00B03A85">
        <w:rPr>
          <w:rFonts w:asciiTheme="majorHAnsi" w:hAnsiTheme="majorHAnsi" w:cstheme="majorHAnsi"/>
          <w:sz w:val="24"/>
          <w:szCs w:val="24"/>
        </w:rPr>
        <w:t>M</w:t>
      </w:r>
      <w:r w:rsidR="00BF59E3">
        <w:rPr>
          <w:rFonts w:asciiTheme="majorHAnsi" w:hAnsiTheme="majorHAnsi" w:cstheme="majorHAnsi"/>
          <w:sz w:val="24"/>
          <w:szCs w:val="24"/>
        </w:rPr>
        <w:t xml:space="preserve">oderní spalovací zařízení jsou </w:t>
      </w:r>
      <w:r w:rsidR="00B03A85">
        <w:rPr>
          <w:rFonts w:asciiTheme="majorHAnsi" w:hAnsiTheme="majorHAnsi" w:cstheme="majorHAnsi"/>
          <w:sz w:val="24"/>
          <w:szCs w:val="24"/>
        </w:rPr>
        <w:t xml:space="preserve">také </w:t>
      </w:r>
      <w:r w:rsidR="00BF59E3">
        <w:rPr>
          <w:rFonts w:asciiTheme="majorHAnsi" w:hAnsiTheme="majorHAnsi" w:cstheme="majorHAnsi"/>
          <w:sz w:val="24"/>
          <w:szCs w:val="24"/>
        </w:rPr>
        <w:t>schopna částečně regulovat svůj výkon, např. snížením při menším odběru.</w:t>
      </w:r>
    </w:p>
    <w:p w:rsidR="00BF59E3" w:rsidRDefault="00BF59E3" w:rsidP="00C6488E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Ještě lépe jsou na tom paroplynové elektrárny, které dokáží zásadně měnit svůj výkon během několika minut a vyrovnávat tak výkyvy </w:t>
      </w:r>
      <w:r w:rsidR="00B03A85">
        <w:rPr>
          <w:rFonts w:asciiTheme="majorHAnsi" w:hAnsiTheme="majorHAnsi" w:cstheme="majorHAnsi"/>
          <w:sz w:val="24"/>
          <w:szCs w:val="24"/>
        </w:rPr>
        <w:t xml:space="preserve">dodávek </w:t>
      </w:r>
      <w:r>
        <w:rPr>
          <w:rFonts w:asciiTheme="majorHAnsi" w:hAnsiTheme="majorHAnsi" w:cstheme="majorHAnsi"/>
          <w:sz w:val="24"/>
          <w:szCs w:val="24"/>
        </w:rPr>
        <w:t>solárních a větrných zdrojů elektrické energie.</w:t>
      </w:r>
    </w:p>
    <w:p w:rsidR="00BF59E3" w:rsidRPr="00BF59E3" w:rsidRDefault="00BF59E3" w:rsidP="0008524D">
      <w:pPr>
        <w:pBdr>
          <w:left w:val="single" w:sz="4" w:space="4" w:color="auto"/>
        </w:pBdr>
        <w:spacing w:after="120"/>
        <w:jc w:val="both"/>
        <w:rPr>
          <w:rFonts w:ascii="Verdana" w:hAnsi="Verdana"/>
          <w:sz w:val="24"/>
          <w:szCs w:val="24"/>
        </w:rPr>
      </w:pPr>
      <w:r w:rsidRPr="00BF59E3">
        <w:rPr>
          <w:rFonts w:ascii="Verdana" w:hAnsi="Verdana"/>
          <w:sz w:val="24"/>
          <w:szCs w:val="24"/>
        </w:rPr>
        <w:t>Jaká je tedy budoucnost tepelných elektráren? Dočkáme se někdy jejich úplného odstranění?</w:t>
      </w:r>
    </w:p>
    <w:p w:rsidR="00BF59E3" w:rsidRDefault="00BF59E3" w:rsidP="003F19A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Výstavba uhelné elektrárny je výrazně levnější, než třeba elektrárny jaderné nebo solárního parku o stejném výkonu. Nově </w:t>
      </w:r>
      <w:r w:rsidR="00B03A85">
        <w:rPr>
          <w:rFonts w:asciiTheme="majorHAnsi" w:hAnsiTheme="majorHAnsi" w:cstheme="majorHAnsi"/>
          <w:sz w:val="24"/>
          <w:szCs w:val="24"/>
        </w:rPr>
        <w:t>budovaná</w:t>
      </w:r>
      <w:r>
        <w:rPr>
          <w:rFonts w:asciiTheme="majorHAnsi" w:hAnsiTheme="majorHAnsi" w:cstheme="majorHAnsi"/>
          <w:sz w:val="24"/>
          <w:szCs w:val="24"/>
        </w:rPr>
        <w:t xml:space="preserve"> zařízení </w:t>
      </w:r>
      <w:r w:rsidR="003F19A5">
        <w:rPr>
          <w:rFonts w:asciiTheme="majorHAnsi" w:hAnsiTheme="majorHAnsi" w:cstheme="majorHAnsi"/>
          <w:sz w:val="24"/>
          <w:szCs w:val="24"/>
        </w:rPr>
        <w:t>však</w:t>
      </w:r>
      <w:r>
        <w:rPr>
          <w:rFonts w:asciiTheme="majorHAnsi" w:hAnsiTheme="majorHAnsi" w:cstheme="majorHAnsi"/>
          <w:sz w:val="24"/>
          <w:szCs w:val="24"/>
        </w:rPr>
        <w:t xml:space="preserve"> podléhají přísným technickým kritériím, takže disponují lepším spalovacím procesem a účinnějšími technologiemi na omezení produkovaných </w:t>
      </w:r>
      <w:r w:rsidR="003F19A5">
        <w:rPr>
          <w:rFonts w:asciiTheme="majorHAnsi" w:hAnsiTheme="majorHAnsi" w:cstheme="majorHAnsi"/>
          <w:sz w:val="24"/>
          <w:szCs w:val="24"/>
        </w:rPr>
        <w:t>zplodin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  <w:r w:rsidR="003F19A5">
        <w:rPr>
          <w:rFonts w:asciiTheme="majorHAnsi" w:hAnsiTheme="majorHAnsi" w:cstheme="majorHAnsi"/>
          <w:sz w:val="24"/>
          <w:szCs w:val="24"/>
        </w:rPr>
        <w:t xml:space="preserve">Paroplynové elektrárny jsou dražší a velmi často se používají právě pro vyrovnávání výkyvů v elektrické </w:t>
      </w:r>
      <w:r w:rsidR="00B03A85">
        <w:rPr>
          <w:rFonts w:asciiTheme="majorHAnsi" w:hAnsiTheme="majorHAnsi" w:cstheme="majorHAnsi"/>
          <w:sz w:val="24"/>
          <w:szCs w:val="24"/>
        </w:rPr>
        <w:t>přenosové</w:t>
      </w:r>
      <w:r w:rsidR="003F19A5">
        <w:rPr>
          <w:rFonts w:asciiTheme="majorHAnsi" w:hAnsiTheme="majorHAnsi" w:cstheme="majorHAnsi"/>
          <w:sz w:val="24"/>
          <w:szCs w:val="24"/>
        </w:rPr>
        <w:t xml:space="preserve"> soustavě.</w:t>
      </w:r>
    </w:p>
    <w:p w:rsidR="003F19A5" w:rsidRDefault="003F19A5" w:rsidP="00C6488E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Osobně si myslím, že tepelné elektrárny budou v horizontu desítek let skutečně odstaveny z provozu. Dovolím si tvrdit, že to bude ve stejný okamžik, kdy bude vyřešen problém ukládání přebytečné energie pro její pozdější využití. To umožní stabilizovat přenosovou soustavu a umožní do ní zapojit neomezený počet solárních a větrných elektráren.</w:t>
      </w:r>
    </w:p>
    <w:p w:rsidR="003F19A5" w:rsidRPr="003F19A5" w:rsidRDefault="003F19A5" w:rsidP="0008524D">
      <w:pPr>
        <w:pBdr>
          <w:left w:val="single" w:sz="4" w:space="4" w:color="auto"/>
        </w:pBdr>
        <w:spacing w:after="120"/>
        <w:jc w:val="both"/>
        <w:rPr>
          <w:rFonts w:ascii="Verdana" w:hAnsi="Verdana"/>
          <w:sz w:val="24"/>
          <w:szCs w:val="24"/>
        </w:rPr>
      </w:pPr>
      <w:r w:rsidRPr="003F19A5">
        <w:rPr>
          <w:rFonts w:ascii="Verdana" w:hAnsi="Verdana"/>
          <w:sz w:val="24"/>
          <w:szCs w:val="24"/>
        </w:rPr>
        <w:t>Doufám, že tato doba přijde co nejdříve. Pane docente, děkuji Vám za Vaše odpovědi.</w:t>
      </w:r>
    </w:p>
    <w:p w:rsidR="00C6488E" w:rsidRPr="003F19A5" w:rsidRDefault="00C6488E" w:rsidP="003F19A5">
      <w:pPr>
        <w:spacing w:after="120"/>
        <w:jc w:val="both"/>
        <w:rPr>
          <w:rFonts w:ascii="Verdana" w:hAnsi="Verdana"/>
          <w:sz w:val="24"/>
          <w:szCs w:val="24"/>
        </w:rPr>
        <w:sectPr w:rsidR="00C6488E" w:rsidRPr="003F19A5" w:rsidSect="00C6488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6488E" w:rsidRPr="004432D9" w:rsidRDefault="00C6488E" w:rsidP="00C6488E">
      <w:pPr>
        <w:spacing w:after="0"/>
        <w:ind w:firstLine="425"/>
        <w:jc w:val="both"/>
        <w:rPr>
          <w:sz w:val="24"/>
          <w:szCs w:val="24"/>
        </w:rPr>
      </w:pPr>
    </w:p>
    <w:p w:rsidR="00BE334E" w:rsidRDefault="003F19A5" w:rsidP="003F19A5">
      <w:pPr>
        <w:jc w:val="right"/>
        <w:rPr>
          <w:sz w:val="24"/>
          <w:szCs w:val="24"/>
        </w:rPr>
      </w:pPr>
      <w:r>
        <w:rPr>
          <w:sz w:val="24"/>
          <w:szCs w:val="24"/>
        </w:rPr>
        <w:t>Rozhovor vedla redaktorka Marie Čistotná</w:t>
      </w:r>
    </w:p>
    <w:p w:rsidR="00BE334E" w:rsidRDefault="002603AA" w:rsidP="002603AA">
      <w:pPr>
        <w:pBdr>
          <w:bottom w:val="single" w:sz="4" w:space="1" w:color="auto"/>
        </w:pBdr>
        <w:shd w:val="clear" w:color="auto" w:fill="FFD966" w:themeFill="accent4" w:themeFillTint="99"/>
        <w:rPr>
          <w:sz w:val="24"/>
          <w:szCs w:val="24"/>
        </w:rPr>
      </w:pPr>
      <w:r>
        <w:rPr>
          <w:sz w:val="24"/>
          <w:szCs w:val="24"/>
        </w:rPr>
        <w:t>Finanční rádce pro investory, ekonomický občasník, duben 2018</w:t>
      </w:r>
    </w:p>
    <w:p w:rsidR="002603AA" w:rsidRPr="00013BB4" w:rsidRDefault="002603AA" w:rsidP="00013BB4">
      <w:pPr>
        <w:jc w:val="center"/>
        <w:rPr>
          <w:rFonts w:ascii="Verdana" w:hAnsi="Verdana"/>
          <w:b/>
          <w:sz w:val="32"/>
          <w:szCs w:val="32"/>
        </w:rPr>
      </w:pPr>
      <w:r w:rsidRPr="00013BB4">
        <w:rPr>
          <w:rFonts w:ascii="Verdana" w:hAnsi="Verdana"/>
          <w:b/>
          <w:sz w:val="32"/>
          <w:szCs w:val="32"/>
        </w:rPr>
        <w:t xml:space="preserve">Vyplatí se tepelná elektrárna </w:t>
      </w:r>
      <w:r w:rsidR="00013BB4">
        <w:rPr>
          <w:rFonts w:ascii="Verdana" w:hAnsi="Verdana"/>
          <w:b/>
          <w:sz w:val="32"/>
          <w:szCs w:val="32"/>
        </w:rPr>
        <w:br/>
      </w:r>
      <w:r w:rsidRPr="00013BB4">
        <w:rPr>
          <w:rFonts w:ascii="Verdana" w:hAnsi="Verdana"/>
          <w:b/>
          <w:sz w:val="32"/>
          <w:szCs w:val="32"/>
        </w:rPr>
        <w:t>a kolik vyrobí energie?</w:t>
      </w:r>
    </w:p>
    <w:p w:rsidR="002603AA" w:rsidRPr="00A76366" w:rsidRDefault="002603AA" w:rsidP="00BE334E">
      <w:pPr>
        <w:rPr>
          <w:rFonts w:asciiTheme="majorHAnsi" w:hAnsiTheme="majorHAnsi" w:cstheme="majorHAnsi"/>
          <w:sz w:val="28"/>
          <w:szCs w:val="28"/>
        </w:rPr>
      </w:pPr>
      <w:r w:rsidRPr="00A76366">
        <w:rPr>
          <w:rFonts w:asciiTheme="majorHAnsi" w:hAnsiTheme="majorHAnsi" w:cstheme="majorHAnsi"/>
          <w:sz w:val="28"/>
          <w:szCs w:val="28"/>
        </w:rPr>
        <w:t>Marian Znalý, Milena Kotlová</w:t>
      </w:r>
    </w:p>
    <w:p w:rsidR="00BE334E" w:rsidRPr="00EB475E" w:rsidRDefault="002603AA" w:rsidP="002603AA">
      <w:pPr>
        <w:spacing w:after="240"/>
        <w:jc w:val="both"/>
        <w:rPr>
          <w:rFonts w:ascii="Arial" w:hAnsi="Arial" w:cs="Arial"/>
          <w:sz w:val="32"/>
          <w:szCs w:val="32"/>
        </w:rPr>
      </w:pPr>
      <w:r w:rsidRPr="00EB475E">
        <w:rPr>
          <w:rFonts w:ascii="Arial" w:hAnsi="Arial" w:cs="Arial"/>
          <w:sz w:val="32"/>
          <w:szCs w:val="32"/>
        </w:rPr>
        <w:t xml:space="preserve">V minulém čísle jsme řešili návratnost investicí do solárních elektráren, z řad větších investorů nám byly kladeny dotazy na výstavbu a provoz uhelných a paroplynových elektráren. Pátrali jsme mezi ekonomickými a technickými odborníky a </w:t>
      </w:r>
      <w:r w:rsidR="00013BB4">
        <w:rPr>
          <w:rFonts w:ascii="Arial" w:hAnsi="Arial" w:cs="Arial"/>
          <w:sz w:val="32"/>
          <w:szCs w:val="32"/>
        </w:rPr>
        <w:t>klíčové</w:t>
      </w:r>
      <w:r w:rsidRPr="00EB475E">
        <w:rPr>
          <w:rFonts w:ascii="Arial" w:hAnsi="Arial" w:cs="Arial"/>
          <w:sz w:val="32"/>
          <w:szCs w:val="32"/>
        </w:rPr>
        <w:t xml:space="preserve"> informace vám zde předkládáme.</w:t>
      </w:r>
    </w:p>
    <w:p w:rsidR="002603AA" w:rsidRPr="009548C2" w:rsidRDefault="002603AA" w:rsidP="00013BB4">
      <w:pPr>
        <w:spacing w:after="12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8C2">
        <w:rPr>
          <w:rFonts w:ascii="Times New Roman" w:hAnsi="Times New Roman" w:cs="Times New Roman"/>
          <w:sz w:val="28"/>
          <w:szCs w:val="28"/>
        </w:rPr>
        <w:t xml:space="preserve">Jako první příklad můžeme vzít 2 bloky uhelné elektrárny s celkovým instalovaným výkonem 960 MW. Vybudování stavby a veškerých technologií představuje investici 21 miliard korun. Elektrárna spotřebuje ročně 1,9 miliónů tun hnědého uhlí a vyrobí maximálně 5 </w:t>
      </w:r>
      <w:proofErr w:type="spellStart"/>
      <w:r w:rsidRPr="009548C2">
        <w:rPr>
          <w:rFonts w:ascii="Times New Roman" w:hAnsi="Times New Roman" w:cs="Times New Roman"/>
          <w:sz w:val="28"/>
          <w:szCs w:val="28"/>
        </w:rPr>
        <w:t>TWh</w:t>
      </w:r>
      <w:proofErr w:type="spellEnd"/>
      <w:r w:rsidRPr="009548C2">
        <w:rPr>
          <w:rFonts w:ascii="Times New Roman" w:hAnsi="Times New Roman" w:cs="Times New Roman"/>
          <w:sz w:val="28"/>
          <w:szCs w:val="28"/>
        </w:rPr>
        <w:t xml:space="preserve"> elektrické energie. Její roční emise CO</w:t>
      </w:r>
      <w:r w:rsidRPr="009548C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548C2">
        <w:rPr>
          <w:rFonts w:ascii="Times New Roman" w:hAnsi="Times New Roman" w:cs="Times New Roman"/>
          <w:sz w:val="28"/>
          <w:szCs w:val="28"/>
        </w:rPr>
        <w:t xml:space="preserve"> představují 2,5 miliónu tun. Do nákladů je potřeba započítat i cenu emisních povolenek na produkci skleníkových plynů. Roční náklady na </w:t>
      </w:r>
      <w:r w:rsidR="00013BB4">
        <w:rPr>
          <w:rFonts w:ascii="Times New Roman" w:hAnsi="Times New Roman" w:cs="Times New Roman"/>
          <w:sz w:val="28"/>
          <w:szCs w:val="28"/>
        </w:rPr>
        <w:t xml:space="preserve">běžný </w:t>
      </w:r>
      <w:r w:rsidRPr="009548C2">
        <w:rPr>
          <w:rFonts w:ascii="Times New Roman" w:hAnsi="Times New Roman" w:cs="Times New Roman"/>
          <w:sz w:val="28"/>
          <w:szCs w:val="28"/>
        </w:rPr>
        <w:t>provoz elektrárny představují částku 60 mil. Kč.</w:t>
      </w:r>
    </w:p>
    <w:p w:rsidR="002603AA" w:rsidRPr="009548C2" w:rsidRDefault="002603AA" w:rsidP="00013BB4">
      <w:pPr>
        <w:spacing w:after="12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8C2">
        <w:rPr>
          <w:rFonts w:ascii="Times New Roman" w:hAnsi="Times New Roman" w:cs="Times New Roman"/>
          <w:sz w:val="28"/>
          <w:szCs w:val="28"/>
        </w:rPr>
        <w:t xml:space="preserve">Jeden blok černouhelné elektrárny o jmenovitém výkonu 100 MW s technologií spalování ve fluidním loži může být vybudován investicí </w:t>
      </w:r>
      <w:r w:rsidR="00DC0197">
        <w:rPr>
          <w:rFonts w:ascii="Times New Roman" w:hAnsi="Times New Roman" w:cs="Times New Roman"/>
          <w:sz w:val="28"/>
          <w:szCs w:val="28"/>
        </w:rPr>
        <w:t>6</w:t>
      </w:r>
      <w:r w:rsidRPr="009548C2">
        <w:rPr>
          <w:rFonts w:ascii="Times New Roman" w:hAnsi="Times New Roman" w:cs="Times New Roman"/>
          <w:sz w:val="28"/>
          <w:szCs w:val="28"/>
        </w:rPr>
        <w:t xml:space="preserve">,6 miliardy Kč. </w:t>
      </w:r>
      <w:r w:rsidR="00BE7427" w:rsidRPr="009548C2">
        <w:rPr>
          <w:rFonts w:ascii="Times New Roman" w:hAnsi="Times New Roman" w:cs="Times New Roman"/>
          <w:sz w:val="28"/>
          <w:szCs w:val="28"/>
        </w:rPr>
        <w:t xml:space="preserve">Ročně spálí asi 300 tisíc tun černého uhlí, předpokládaná roční výroba elektrické energie je 500 </w:t>
      </w:r>
      <w:proofErr w:type="spellStart"/>
      <w:r w:rsidR="00BE7427" w:rsidRPr="009548C2">
        <w:rPr>
          <w:rFonts w:ascii="Times New Roman" w:hAnsi="Times New Roman" w:cs="Times New Roman"/>
          <w:sz w:val="28"/>
          <w:szCs w:val="28"/>
        </w:rPr>
        <w:t>GWh</w:t>
      </w:r>
      <w:proofErr w:type="spellEnd"/>
      <w:r w:rsidR="00BE7427" w:rsidRPr="009548C2">
        <w:rPr>
          <w:rFonts w:ascii="Times New Roman" w:hAnsi="Times New Roman" w:cs="Times New Roman"/>
          <w:sz w:val="28"/>
          <w:szCs w:val="28"/>
        </w:rPr>
        <w:t xml:space="preserve">. Roční náklady </w:t>
      </w:r>
      <w:r w:rsidR="00013BB4">
        <w:rPr>
          <w:rFonts w:ascii="Times New Roman" w:hAnsi="Times New Roman" w:cs="Times New Roman"/>
          <w:sz w:val="28"/>
          <w:szCs w:val="28"/>
        </w:rPr>
        <w:t xml:space="preserve">na údržbu </w:t>
      </w:r>
      <w:r w:rsidR="00BE7427" w:rsidRPr="009548C2">
        <w:rPr>
          <w:rFonts w:ascii="Times New Roman" w:hAnsi="Times New Roman" w:cs="Times New Roman"/>
          <w:sz w:val="28"/>
          <w:szCs w:val="28"/>
        </w:rPr>
        <w:t>by neměly přesáhnout 40 mil. Kč. Výhodou elektrárny je její schopnost regulovat svůj výkon rychlostí 4 MW za minutu.</w:t>
      </w:r>
    </w:p>
    <w:p w:rsidR="00BE7427" w:rsidRPr="009548C2" w:rsidRDefault="00485259" w:rsidP="00013BB4">
      <w:pPr>
        <w:spacing w:after="12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8C2">
        <w:rPr>
          <w:rFonts w:ascii="Times New Roman" w:hAnsi="Times New Roman" w:cs="Times New Roman"/>
          <w:sz w:val="28"/>
          <w:szCs w:val="28"/>
        </w:rPr>
        <w:t>Paroplynová elektrárna s výkonem 820 MW byla postavena s investicí 20 miliard Kč. Její roční provozní náklady jsou 50 miliónů korun. Při plném výkonu má spotřebu zemního plynu 1,5 tuny za minutu. Její emise CO</w:t>
      </w:r>
      <w:r w:rsidRPr="009548C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548C2">
        <w:rPr>
          <w:rFonts w:ascii="Times New Roman" w:hAnsi="Times New Roman" w:cs="Times New Roman"/>
          <w:sz w:val="28"/>
          <w:szCs w:val="28"/>
        </w:rPr>
        <w:t xml:space="preserve"> jsou poloviční ve</w:t>
      </w:r>
      <w:r w:rsidR="00013BB4">
        <w:rPr>
          <w:rFonts w:ascii="Times New Roman" w:hAnsi="Times New Roman" w:cs="Times New Roman"/>
          <w:sz w:val="28"/>
          <w:szCs w:val="28"/>
        </w:rPr>
        <w:t xml:space="preserve"> srovnání s uhelnou elektrárnou</w:t>
      </w:r>
      <w:r w:rsidRPr="009548C2">
        <w:rPr>
          <w:rFonts w:ascii="Times New Roman" w:hAnsi="Times New Roman" w:cs="Times New Roman"/>
          <w:sz w:val="28"/>
          <w:szCs w:val="28"/>
        </w:rPr>
        <w:t>. Elektrárna může velmi snadno měnit svůj výkon a používá se především k vyrovnávání energetických špiček a propadů.</w:t>
      </w:r>
      <w:r w:rsidR="001C1359" w:rsidRPr="009548C2">
        <w:rPr>
          <w:rFonts w:ascii="Times New Roman" w:hAnsi="Times New Roman" w:cs="Times New Roman"/>
          <w:sz w:val="28"/>
          <w:szCs w:val="28"/>
        </w:rPr>
        <w:t xml:space="preserve"> Turbína může spalovat také tekutá paliva (</w:t>
      </w:r>
      <w:r w:rsidR="00013BB4">
        <w:rPr>
          <w:rFonts w:ascii="Times New Roman" w:hAnsi="Times New Roman" w:cs="Times New Roman"/>
          <w:sz w:val="28"/>
          <w:szCs w:val="28"/>
        </w:rPr>
        <w:t>lehký topný olej</w:t>
      </w:r>
      <w:r w:rsidR="001C1359" w:rsidRPr="009548C2">
        <w:rPr>
          <w:rFonts w:ascii="Times New Roman" w:hAnsi="Times New Roman" w:cs="Times New Roman"/>
          <w:sz w:val="28"/>
          <w:szCs w:val="28"/>
        </w:rPr>
        <w:t>), při plném výkonu je to 600 litrů topného oleje za minutu.</w:t>
      </w:r>
    </w:p>
    <w:p w:rsidR="00BE334E" w:rsidRPr="00F746AF" w:rsidRDefault="001C1359" w:rsidP="00F746AF">
      <w:pPr>
        <w:spacing w:after="12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8C2">
        <w:rPr>
          <w:rFonts w:ascii="Times New Roman" w:hAnsi="Times New Roman" w:cs="Times New Roman"/>
          <w:sz w:val="28"/>
          <w:szCs w:val="28"/>
        </w:rPr>
        <w:t xml:space="preserve">Posledním příkladem je bioplynová stanice s výkonem 500 kW, z toho 300 kW je výkon elektrický (do sítě dodá ročně 2,3 </w:t>
      </w:r>
      <w:proofErr w:type="spellStart"/>
      <w:r w:rsidRPr="009548C2">
        <w:rPr>
          <w:rFonts w:ascii="Times New Roman" w:hAnsi="Times New Roman" w:cs="Times New Roman"/>
          <w:sz w:val="28"/>
          <w:szCs w:val="28"/>
        </w:rPr>
        <w:t>MWh</w:t>
      </w:r>
      <w:proofErr w:type="spellEnd"/>
      <w:r w:rsidRPr="009548C2">
        <w:rPr>
          <w:rFonts w:ascii="Times New Roman" w:hAnsi="Times New Roman" w:cs="Times New Roman"/>
          <w:sz w:val="28"/>
          <w:szCs w:val="28"/>
        </w:rPr>
        <w:t>), zbytek je teplo využitelné k vytápění. Vstupní náklady na stavbu a technologie je 43 mil. Kč. Roční náklady na provoz (obsluha, servis) jsou 2 milióny, roční náklady na vstupní biomasu jsou 5 miliónů Kč. Návratnost se pohybuje od 10 do 15 let, doba životnosti je 20 let.</w:t>
      </w:r>
    </w:p>
    <w:sectPr w:rsidR="00BE334E" w:rsidRPr="00F746AF" w:rsidSect="0086304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885"/>
    <w:rsid w:val="00013BB4"/>
    <w:rsid w:val="0008524D"/>
    <w:rsid w:val="00091E08"/>
    <w:rsid w:val="00116E5B"/>
    <w:rsid w:val="00120906"/>
    <w:rsid w:val="001647FB"/>
    <w:rsid w:val="00192B23"/>
    <w:rsid w:val="001B2B0A"/>
    <w:rsid w:val="001C1359"/>
    <w:rsid w:val="001D76FD"/>
    <w:rsid w:val="00250F3C"/>
    <w:rsid w:val="002603AA"/>
    <w:rsid w:val="002D2683"/>
    <w:rsid w:val="003066FB"/>
    <w:rsid w:val="003F19A5"/>
    <w:rsid w:val="004432D9"/>
    <w:rsid w:val="0044596B"/>
    <w:rsid w:val="00450D2C"/>
    <w:rsid w:val="00485259"/>
    <w:rsid w:val="004C4980"/>
    <w:rsid w:val="00513918"/>
    <w:rsid w:val="00530CAD"/>
    <w:rsid w:val="005649AD"/>
    <w:rsid w:val="005B0527"/>
    <w:rsid w:val="005D6B0B"/>
    <w:rsid w:val="006942AF"/>
    <w:rsid w:val="006A08AA"/>
    <w:rsid w:val="006F37C4"/>
    <w:rsid w:val="00726B06"/>
    <w:rsid w:val="00796E00"/>
    <w:rsid w:val="007F2023"/>
    <w:rsid w:val="00802885"/>
    <w:rsid w:val="00802F8D"/>
    <w:rsid w:val="008461AF"/>
    <w:rsid w:val="00863042"/>
    <w:rsid w:val="0091338D"/>
    <w:rsid w:val="009548C2"/>
    <w:rsid w:val="00981DF1"/>
    <w:rsid w:val="009E0D28"/>
    <w:rsid w:val="00A76366"/>
    <w:rsid w:val="00AB57DD"/>
    <w:rsid w:val="00B03A85"/>
    <w:rsid w:val="00B15F56"/>
    <w:rsid w:val="00BE334E"/>
    <w:rsid w:val="00BE7427"/>
    <w:rsid w:val="00BF1571"/>
    <w:rsid w:val="00BF59E3"/>
    <w:rsid w:val="00C6488E"/>
    <w:rsid w:val="00CC4D85"/>
    <w:rsid w:val="00D22E06"/>
    <w:rsid w:val="00D66FA8"/>
    <w:rsid w:val="00D7169D"/>
    <w:rsid w:val="00DC0197"/>
    <w:rsid w:val="00E424D1"/>
    <w:rsid w:val="00E837B2"/>
    <w:rsid w:val="00EB475E"/>
    <w:rsid w:val="00F52FB3"/>
    <w:rsid w:val="00F6454A"/>
    <w:rsid w:val="00F6743F"/>
    <w:rsid w:val="00F71B22"/>
    <w:rsid w:val="00F746AF"/>
    <w:rsid w:val="00F760CA"/>
    <w:rsid w:val="00F85D38"/>
    <w:rsid w:val="00FB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BE0496-1FF5-4235-8E88-6A34E677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02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6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1AF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760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hybrid.cz/i/auto/paroplynova-elektrarna-turbina-siemens.jp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Se&#353;it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Se&#353;it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Se&#353;it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Vývoj cen uhlí na světovém trhu (CZK)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List1!$A$2</c:f>
              <c:strCache>
                <c:ptCount val="1"/>
                <c:pt idx="0">
                  <c:v>hnědé uhlí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List1!$B$1:$G$1</c:f>
              <c:strCache>
                <c:ptCount val="6"/>
                <c:pt idx="0">
                  <c:v>1. čt. 2018</c:v>
                </c:pt>
                <c:pt idx="1">
                  <c:v>2. čt. 2018</c:v>
                </c:pt>
                <c:pt idx="2">
                  <c:v>3. čt. 2018</c:v>
                </c:pt>
                <c:pt idx="3">
                  <c:v>4. čt. 2018</c:v>
                </c:pt>
                <c:pt idx="4">
                  <c:v>2023</c:v>
                </c:pt>
                <c:pt idx="5">
                  <c:v>2028</c:v>
                </c:pt>
              </c:strCache>
            </c:strRef>
          </c:cat>
          <c:val>
            <c:numRef>
              <c:f>List1!$B$2:$G$2</c:f>
              <c:numCache>
                <c:formatCode>General</c:formatCode>
                <c:ptCount val="6"/>
                <c:pt idx="0">
                  <c:v>1400</c:v>
                </c:pt>
                <c:pt idx="1">
                  <c:v>1725</c:v>
                </c:pt>
                <c:pt idx="2">
                  <c:v>1590</c:v>
                </c:pt>
                <c:pt idx="3">
                  <c:v>1400</c:v>
                </c:pt>
                <c:pt idx="4">
                  <c:v>1400</c:v>
                </c:pt>
                <c:pt idx="5">
                  <c:v>1200</c:v>
                </c:pt>
              </c:numCache>
            </c:numRef>
          </c:val>
        </c:ser>
        <c:ser>
          <c:idx val="1"/>
          <c:order val="1"/>
          <c:tx>
            <c:strRef>
              <c:f>List1!$A$3</c:f>
              <c:strCache>
                <c:ptCount val="1"/>
                <c:pt idx="0">
                  <c:v>černé uhlí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List1!$B$1:$G$1</c:f>
              <c:strCache>
                <c:ptCount val="6"/>
                <c:pt idx="0">
                  <c:v>1. čt. 2018</c:v>
                </c:pt>
                <c:pt idx="1">
                  <c:v>2. čt. 2018</c:v>
                </c:pt>
                <c:pt idx="2">
                  <c:v>3. čt. 2018</c:v>
                </c:pt>
                <c:pt idx="3">
                  <c:v>4. čt. 2018</c:v>
                </c:pt>
                <c:pt idx="4">
                  <c:v>2023</c:v>
                </c:pt>
                <c:pt idx="5">
                  <c:v>2028</c:v>
                </c:pt>
              </c:strCache>
            </c:strRef>
          </c:cat>
          <c:val>
            <c:numRef>
              <c:f>List1!$B$3:$G$3</c:f>
              <c:numCache>
                <c:formatCode>General</c:formatCode>
                <c:ptCount val="6"/>
                <c:pt idx="0">
                  <c:v>1840</c:v>
                </c:pt>
                <c:pt idx="1">
                  <c:v>2100</c:v>
                </c:pt>
                <c:pt idx="2">
                  <c:v>2000</c:v>
                </c:pt>
                <c:pt idx="3">
                  <c:v>2530</c:v>
                </c:pt>
                <c:pt idx="4">
                  <c:v>2780</c:v>
                </c:pt>
                <c:pt idx="5">
                  <c:v>3000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97615048"/>
        <c:axId val="297615440"/>
      </c:barChart>
      <c:catAx>
        <c:axId val="297615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97615440"/>
        <c:crosses val="autoZero"/>
        <c:auto val="1"/>
        <c:lblAlgn val="ctr"/>
        <c:lblOffset val="100"/>
        <c:noMultiLvlLbl val="0"/>
      </c:catAx>
      <c:valAx>
        <c:axId val="297615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97615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zemní plyn (CZK/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kub. metr)</a:t>
            </a:r>
          </a:p>
        </c:rich>
      </c:tx>
      <c:layout>
        <c:manualLayout>
          <c:xMode val="edge"/>
          <c:yMode val="edge"/>
          <c:x val="0.32770019444935478"/>
          <c:y val="4.1025641025641026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List1!$A$4</c:f>
              <c:strCache>
                <c:ptCount val="1"/>
                <c:pt idx="0">
                  <c:v>zemní plyn (kub. metr)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List1!$B$3:$G$3</c:f>
              <c:strCache>
                <c:ptCount val="6"/>
                <c:pt idx="0">
                  <c:v>1. čt. 2018</c:v>
                </c:pt>
                <c:pt idx="1">
                  <c:v>2. čt 2018</c:v>
                </c:pt>
                <c:pt idx="2">
                  <c:v>3. čt 2018</c:v>
                </c:pt>
                <c:pt idx="3">
                  <c:v>4. čt. 2018</c:v>
                </c:pt>
                <c:pt idx="4">
                  <c:v>2023</c:v>
                </c:pt>
                <c:pt idx="5">
                  <c:v>2028</c:v>
                </c:pt>
              </c:strCache>
            </c:strRef>
          </c:cat>
          <c:val>
            <c:numRef>
              <c:f>List1!$B$4:$G$4</c:f>
              <c:numCache>
                <c:formatCode>General</c:formatCode>
                <c:ptCount val="6"/>
                <c:pt idx="0">
                  <c:v>2.5</c:v>
                </c:pt>
                <c:pt idx="1">
                  <c:v>2</c:v>
                </c:pt>
                <c:pt idx="2">
                  <c:v>3</c:v>
                </c:pt>
                <c:pt idx="3">
                  <c:v>3.5</c:v>
                </c:pt>
                <c:pt idx="4">
                  <c:v>4</c:v>
                </c:pt>
                <c:pt idx="5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97611912"/>
        <c:axId val="297613088"/>
        <c:axId val="0"/>
      </c:bar3DChart>
      <c:catAx>
        <c:axId val="297611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97613088"/>
        <c:crosses val="autoZero"/>
        <c:auto val="1"/>
        <c:lblAlgn val="ctr"/>
        <c:lblOffset val="100"/>
        <c:noMultiLvlLbl val="0"/>
      </c:catAx>
      <c:valAx>
        <c:axId val="297613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97611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ropa (CZK/barel)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List1!$A$2</c:f>
              <c:strCache>
                <c:ptCount val="1"/>
                <c:pt idx="0">
                  <c:v>ropa (barel)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List1!$B$1:$G$1</c:f>
              <c:strCache>
                <c:ptCount val="6"/>
                <c:pt idx="0">
                  <c:v>1. čt. 2018</c:v>
                </c:pt>
                <c:pt idx="1">
                  <c:v>2. čt 2018</c:v>
                </c:pt>
                <c:pt idx="2">
                  <c:v>3. čt 2018</c:v>
                </c:pt>
                <c:pt idx="3">
                  <c:v>4. čt. 2018</c:v>
                </c:pt>
                <c:pt idx="4">
                  <c:v>2023</c:v>
                </c:pt>
                <c:pt idx="5">
                  <c:v>2028</c:v>
                </c:pt>
              </c:strCache>
            </c:strRef>
          </c:cat>
          <c:val>
            <c:numRef>
              <c:f>List1!$B$2:$G$2</c:f>
              <c:numCache>
                <c:formatCode>General</c:formatCode>
                <c:ptCount val="6"/>
                <c:pt idx="0">
                  <c:v>1495</c:v>
                </c:pt>
                <c:pt idx="1">
                  <c:v>1640</c:v>
                </c:pt>
                <c:pt idx="2">
                  <c:v>1955</c:v>
                </c:pt>
                <c:pt idx="3">
                  <c:v>1400</c:v>
                </c:pt>
                <c:pt idx="4">
                  <c:v>2300</c:v>
                </c:pt>
                <c:pt idx="5">
                  <c:v>3000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97614264"/>
        <c:axId val="527118944"/>
        <c:axId val="0"/>
      </c:bar3DChart>
      <c:catAx>
        <c:axId val="297614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527118944"/>
        <c:crosses val="autoZero"/>
        <c:auto val="1"/>
        <c:lblAlgn val="ctr"/>
        <c:lblOffset val="100"/>
        <c:noMultiLvlLbl val="0"/>
      </c:catAx>
      <c:valAx>
        <c:axId val="527118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97614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B08B7-8C2F-4371-81C3-571061D7D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8</Pages>
  <Words>2463</Words>
  <Characters>14538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Vávra Václav</dc:creator>
  <cp:keywords/>
  <dc:description/>
  <cp:lastModifiedBy>Lokajová Aneta</cp:lastModifiedBy>
  <cp:revision>41</cp:revision>
  <cp:lastPrinted>2020-11-26T11:14:00Z</cp:lastPrinted>
  <dcterms:created xsi:type="dcterms:W3CDTF">2018-12-08T07:09:00Z</dcterms:created>
  <dcterms:modified xsi:type="dcterms:W3CDTF">2020-11-26T12:50:00Z</dcterms:modified>
</cp:coreProperties>
</file>