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12972" w:rsidRPr="00BB37B6" w:rsidRDefault="0001398A">
      <w:pPr>
        <w:rPr>
          <w:rFonts w:asciiTheme="majorHAnsi" w:eastAsia="Times New Roman" w:hAnsiTheme="majorHAnsi" w:cstheme="majorHAnsi"/>
          <w:b/>
        </w:rPr>
      </w:pPr>
      <w:r w:rsidRPr="00BB37B6">
        <w:rPr>
          <w:rFonts w:asciiTheme="majorHAnsi" w:eastAsia="Times New Roman" w:hAnsiTheme="majorHAnsi" w:cstheme="majorHAnsi"/>
          <w:b/>
        </w:rPr>
        <w:t>Pokusy</w:t>
      </w:r>
    </w:p>
    <w:p w14:paraId="00000002" w14:textId="77777777" w:rsidR="00F12972" w:rsidRPr="00BB37B6" w:rsidRDefault="00F12972">
      <w:pPr>
        <w:rPr>
          <w:rFonts w:asciiTheme="majorHAnsi" w:eastAsia="Times New Roman" w:hAnsiTheme="majorHAnsi" w:cstheme="majorHAnsi"/>
          <w:b/>
        </w:rPr>
      </w:pPr>
    </w:p>
    <w:p w14:paraId="00000003" w14:textId="65D747AE" w:rsidR="00F12972" w:rsidRPr="00BB37B6" w:rsidRDefault="00BB37B6">
      <w:pPr>
        <w:spacing w:line="360" w:lineRule="auto"/>
        <w:rPr>
          <w:rFonts w:asciiTheme="majorHAnsi" w:eastAsia="Times New Roman" w:hAnsiTheme="majorHAnsi" w:cstheme="majorHAnsi"/>
          <w:b/>
        </w:rPr>
      </w:pPr>
      <w:r>
        <w:rPr>
          <w:rFonts w:asciiTheme="majorHAnsi" w:eastAsia="Times New Roman" w:hAnsiTheme="majorHAnsi" w:cstheme="majorHAnsi"/>
          <w:b/>
        </w:rPr>
        <w:t xml:space="preserve">1. </w:t>
      </w:r>
      <w:r w:rsidR="0001398A" w:rsidRPr="00BB37B6">
        <w:rPr>
          <w:rFonts w:asciiTheme="majorHAnsi" w:eastAsia="Times New Roman" w:hAnsiTheme="majorHAnsi" w:cstheme="majorHAnsi"/>
          <w:b/>
        </w:rPr>
        <w:t>Voda a olej</w:t>
      </w:r>
    </w:p>
    <w:p w14:paraId="00000004" w14:textId="77777777" w:rsidR="00F12972" w:rsidRPr="00BB37B6" w:rsidRDefault="0001398A">
      <w:pPr>
        <w:spacing w:after="280" w:line="360" w:lineRule="auto"/>
        <w:jc w:val="both"/>
        <w:rPr>
          <w:rFonts w:asciiTheme="majorHAnsi" w:eastAsia="Times New Roman" w:hAnsiTheme="majorHAnsi" w:cstheme="majorHAnsi"/>
        </w:rPr>
      </w:pPr>
      <w:r w:rsidRPr="00BB37B6">
        <w:rPr>
          <w:rFonts w:asciiTheme="majorHAnsi" w:eastAsia="Times New Roman" w:hAnsiTheme="majorHAnsi" w:cstheme="majorHAnsi"/>
        </w:rPr>
        <w:t xml:space="preserve">Hustota je vlastnost pevné látky, udávající hmotnost daného objemu. Dvě tělesa o stejném objemu a různých hmotnostech mají různou hustotu. Větší hmotnost = větší hustota. Hustotu můžeme určovat také u kapalin. V úzkých skleničkách od oliv máme vodu a olej. Vodu si obarvíme potravinářským barvivem. </w:t>
      </w:r>
    </w:p>
    <w:p w14:paraId="00000005" w14:textId="77777777" w:rsidR="00F12972" w:rsidRPr="00BB37B6" w:rsidRDefault="0001398A">
      <w:pPr>
        <w:spacing w:after="280" w:line="360" w:lineRule="auto"/>
        <w:jc w:val="both"/>
        <w:rPr>
          <w:rFonts w:asciiTheme="majorHAnsi" w:eastAsia="Times New Roman" w:hAnsiTheme="majorHAnsi" w:cstheme="majorHAnsi"/>
        </w:rPr>
      </w:pPr>
      <w:r w:rsidRPr="00BB37B6">
        <w:rPr>
          <w:rFonts w:asciiTheme="majorHAnsi" w:eastAsia="Times New Roman" w:hAnsiTheme="majorHAnsi" w:cstheme="majorHAnsi"/>
          <w:highlight w:val="white"/>
        </w:rPr>
        <w:t xml:space="preserve">Potravinářské barvivo (neboli jedlé barvivo, jedlé barvy) je </w:t>
      </w:r>
      <w:hyperlink r:id="rId7">
        <w:r w:rsidRPr="00BB37B6">
          <w:rPr>
            <w:rFonts w:asciiTheme="majorHAnsi" w:eastAsia="Times New Roman" w:hAnsiTheme="majorHAnsi" w:cstheme="majorHAnsi"/>
            <w:highlight w:val="white"/>
          </w:rPr>
          <w:t>barvivo</w:t>
        </w:r>
      </w:hyperlink>
      <w:r w:rsidRPr="00BB37B6">
        <w:rPr>
          <w:rFonts w:asciiTheme="majorHAnsi" w:eastAsia="Times New Roman" w:hAnsiTheme="majorHAnsi" w:cstheme="majorHAnsi"/>
          <w:highlight w:val="white"/>
        </w:rPr>
        <w:t xml:space="preserve">, které se přidává do </w:t>
      </w:r>
      <w:hyperlink r:id="rId8">
        <w:r w:rsidRPr="00BB37B6">
          <w:rPr>
            <w:rFonts w:asciiTheme="majorHAnsi" w:eastAsia="Times New Roman" w:hAnsiTheme="majorHAnsi" w:cstheme="majorHAnsi"/>
            <w:highlight w:val="white"/>
          </w:rPr>
          <w:t>potravin</w:t>
        </w:r>
      </w:hyperlink>
      <w:r w:rsidRPr="00BB37B6">
        <w:rPr>
          <w:rFonts w:asciiTheme="majorHAnsi" w:eastAsia="Times New Roman" w:hAnsiTheme="majorHAnsi" w:cstheme="majorHAnsi"/>
          <w:highlight w:val="white"/>
        </w:rPr>
        <w:t xml:space="preserve"> pro zvýraznění </w:t>
      </w:r>
      <w:hyperlink r:id="rId9">
        <w:r w:rsidRPr="00BB37B6">
          <w:rPr>
            <w:rFonts w:asciiTheme="majorHAnsi" w:eastAsia="Times New Roman" w:hAnsiTheme="majorHAnsi" w:cstheme="majorHAnsi"/>
            <w:highlight w:val="white"/>
          </w:rPr>
          <w:t>barvy</w:t>
        </w:r>
      </w:hyperlink>
      <w:r w:rsidRPr="00BB37B6">
        <w:rPr>
          <w:rFonts w:asciiTheme="majorHAnsi" w:eastAsia="Times New Roman" w:hAnsiTheme="majorHAnsi" w:cstheme="majorHAnsi"/>
          <w:highlight w:val="white"/>
        </w:rPr>
        <w:t xml:space="preserve"> či </w:t>
      </w:r>
      <w:hyperlink r:id="rId10">
        <w:r w:rsidRPr="00BB37B6">
          <w:rPr>
            <w:rFonts w:asciiTheme="majorHAnsi" w:eastAsia="Times New Roman" w:hAnsiTheme="majorHAnsi" w:cstheme="majorHAnsi"/>
            <w:highlight w:val="white"/>
          </w:rPr>
          <w:t>chutě</w:t>
        </w:r>
      </w:hyperlink>
      <w:r w:rsidRPr="00BB37B6">
        <w:rPr>
          <w:rFonts w:asciiTheme="majorHAnsi" w:eastAsia="Times New Roman" w:hAnsiTheme="majorHAnsi" w:cstheme="majorHAnsi"/>
          <w:highlight w:val="white"/>
        </w:rPr>
        <w:t xml:space="preserve">. Přítomnost těchto barviv musí být uvedena na </w:t>
      </w:r>
      <w:hyperlink r:id="rId11">
        <w:r w:rsidRPr="00BB37B6">
          <w:rPr>
            <w:rFonts w:asciiTheme="majorHAnsi" w:eastAsia="Times New Roman" w:hAnsiTheme="majorHAnsi" w:cstheme="majorHAnsi"/>
            <w:highlight w:val="white"/>
          </w:rPr>
          <w:t>obalu</w:t>
        </w:r>
      </w:hyperlink>
      <w:r w:rsidRPr="00BB37B6">
        <w:rPr>
          <w:rFonts w:asciiTheme="majorHAnsi" w:eastAsia="Times New Roman" w:hAnsiTheme="majorHAnsi" w:cstheme="majorHAnsi"/>
          <w:highlight w:val="white"/>
        </w:rPr>
        <w:t xml:space="preserve"> </w:t>
      </w:r>
      <w:hyperlink r:id="rId12">
        <w:r w:rsidRPr="00BB37B6">
          <w:rPr>
            <w:rFonts w:asciiTheme="majorHAnsi" w:eastAsia="Times New Roman" w:hAnsiTheme="majorHAnsi" w:cstheme="majorHAnsi"/>
            <w:highlight w:val="white"/>
          </w:rPr>
          <w:t>výrobku</w:t>
        </w:r>
      </w:hyperlink>
      <w:r w:rsidRPr="00BB37B6">
        <w:rPr>
          <w:rFonts w:asciiTheme="majorHAnsi" w:eastAsia="Times New Roman" w:hAnsiTheme="majorHAnsi" w:cstheme="majorHAnsi"/>
          <w:highlight w:val="white"/>
        </w:rPr>
        <w:t xml:space="preserve">. Barviva jsou označovaná čísly </w:t>
      </w:r>
      <w:hyperlink r:id="rId13">
        <w:r w:rsidRPr="00BB37B6">
          <w:rPr>
            <w:rFonts w:asciiTheme="majorHAnsi" w:eastAsia="Times New Roman" w:hAnsiTheme="majorHAnsi" w:cstheme="majorHAnsi"/>
            <w:highlight w:val="white"/>
          </w:rPr>
          <w:t>E 100</w:t>
        </w:r>
      </w:hyperlink>
      <w:r w:rsidRPr="00BB37B6">
        <w:rPr>
          <w:rFonts w:asciiTheme="majorHAnsi" w:eastAsia="Times New Roman" w:hAnsiTheme="majorHAnsi" w:cstheme="majorHAnsi"/>
          <w:highlight w:val="white"/>
        </w:rPr>
        <w:t xml:space="preserve"> až </w:t>
      </w:r>
      <w:hyperlink r:id="rId14">
        <w:r w:rsidRPr="00BB37B6">
          <w:rPr>
            <w:rFonts w:asciiTheme="majorHAnsi" w:eastAsia="Times New Roman" w:hAnsiTheme="majorHAnsi" w:cstheme="majorHAnsi"/>
            <w:highlight w:val="white"/>
          </w:rPr>
          <w:t>E 180</w:t>
        </w:r>
      </w:hyperlink>
      <w:r w:rsidRPr="00BB37B6">
        <w:rPr>
          <w:rFonts w:asciiTheme="majorHAnsi" w:eastAsia="Times New Roman" w:hAnsiTheme="majorHAnsi" w:cstheme="majorHAnsi"/>
          <w:highlight w:val="white"/>
        </w:rPr>
        <w:t xml:space="preserve">. Některá potravinářská barviva mají přírodní původ např. </w:t>
      </w:r>
      <w:hyperlink r:id="rId15">
        <w:r w:rsidRPr="00BB37B6">
          <w:rPr>
            <w:rFonts w:asciiTheme="majorHAnsi" w:eastAsia="Times New Roman" w:hAnsiTheme="majorHAnsi" w:cstheme="majorHAnsi"/>
            <w:highlight w:val="white"/>
          </w:rPr>
          <w:t>karotenoidy</w:t>
        </w:r>
      </w:hyperlink>
      <w:r w:rsidRPr="00BB37B6">
        <w:rPr>
          <w:rFonts w:asciiTheme="majorHAnsi" w:eastAsia="Times New Roman" w:hAnsiTheme="majorHAnsi" w:cstheme="majorHAnsi"/>
          <w:highlight w:val="white"/>
        </w:rPr>
        <w:t xml:space="preserve"> nebo </w:t>
      </w:r>
      <w:hyperlink r:id="rId16">
        <w:r w:rsidRPr="00BB37B6">
          <w:rPr>
            <w:rFonts w:asciiTheme="majorHAnsi" w:eastAsia="Times New Roman" w:hAnsiTheme="majorHAnsi" w:cstheme="majorHAnsi"/>
            <w:highlight w:val="white"/>
          </w:rPr>
          <w:t>chlorofyly</w:t>
        </w:r>
      </w:hyperlink>
      <w:r w:rsidRPr="00BB37B6">
        <w:rPr>
          <w:rFonts w:asciiTheme="majorHAnsi" w:eastAsia="Times New Roman" w:hAnsiTheme="majorHAnsi" w:cstheme="majorHAnsi"/>
          <w:highlight w:val="white"/>
        </w:rPr>
        <w:t>.</w:t>
      </w:r>
    </w:p>
    <w:p w14:paraId="00000006" w14:textId="50B52F08" w:rsidR="00F12972" w:rsidRPr="00BB37B6" w:rsidRDefault="0001398A">
      <w:pPr>
        <w:spacing w:after="160" w:line="360" w:lineRule="auto"/>
        <w:jc w:val="both"/>
        <w:rPr>
          <w:rFonts w:asciiTheme="majorHAnsi" w:eastAsia="Times New Roman" w:hAnsiTheme="majorHAnsi" w:cstheme="majorHAnsi"/>
        </w:rPr>
      </w:pPr>
      <w:r w:rsidRPr="00BB37B6">
        <w:rPr>
          <w:rFonts w:asciiTheme="majorHAnsi" w:eastAsia="Times New Roman" w:hAnsiTheme="majorHAnsi" w:cstheme="majorHAnsi"/>
        </w:rPr>
        <w:t xml:space="preserve">Lahvičku s vodou dolijeme vodu do plna, aby se vytvořil “kopeček”a přiložíme fólii. Lahvičku s vodou pak opatrně otočíme a položíme na lahvičku s olejem. Poté odstraníme fólii </w:t>
      </w:r>
      <w:r w:rsidR="00BB37B6">
        <w:rPr>
          <w:rFonts w:asciiTheme="majorHAnsi" w:eastAsia="Times New Roman" w:hAnsiTheme="majorHAnsi" w:cstheme="majorHAnsi"/>
        </w:rPr>
        <w:t xml:space="preserve">a sledujeme reakci. Voda a olej </w:t>
      </w:r>
      <w:r w:rsidRPr="00BB37B6">
        <w:rPr>
          <w:rFonts w:asciiTheme="majorHAnsi" w:eastAsia="Times New Roman" w:hAnsiTheme="majorHAnsi" w:cstheme="majorHAnsi"/>
        </w:rPr>
        <w:t>mají stejný objem (stejně velké sklenice). Voda má větší hustotu n</w:t>
      </w:r>
      <w:r w:rsidR="00BB37B6">
        <w:rPr>
          <w:rFonts w:asciiTheme="majorHAnsi" w:eastAsia="Times New Roman" w:hAnsiTheme="majorHAnsi" w:cstheme="majorHAnsi"/>
        </w:rPr>
        <w:t xml:space="preserve">ež olej, je těžší , </w:t>
      </w:r>
      <w:r w:rsidRPr="00BB37B6">
        <w:rPr>
          <w:rFonts w:asciiTheme="majorHAnsi" w:eastAsia="Times New Roman" w:hAnsiTheme="majorHAnsi" w:cstheme="majorHAnsi"/>
        </w:rPr>
        <w:t>tudíž se s olejem vymění, je níž. Kde se s tím můžeme setkat v životě? Například mastná oka na polévce nebo ropná skvrna držící se na hladině oceánu.</w:t>
      </w:r>
    </w:p>
    <w:p w14:paraId="00000007" w14:textId="77777777" w:rsidR="00F12972" w:rsidRPr="00BB37B6" w:rsidRDefault="00F12972">
      <w:pPr>
        <w:rPr>
          <w:rFonts w:asciiTheme="majorHAnsi" w:hAnsiTheme="majorHAnsi" w:cstheme="majorHAnsi"/>
          <w:b/>
        </w:rPr>
      </w:pPr>
    </w:p>
    <w:p w14:paraId="00000008" w14:textId="77777777" w:rsidR="00F12972" w:rsidRPr="00BB37B6" w:rsidRDefault="00F12972">
      <w:pPr>
        <w:rPr>
          <w:rFonts w:asciiTheme="majorHAnsi" w:hAnsiTheme="majorHAnsi" w:cstheme="majorHAnsi"/>
          <w:b/>
        </w:rPr>
      </w:pPr>
    </w:p>
    <w:p w14:paraId="00000009" w14:textId="77777777" w:rsidR="00F12972" w:rsidRPr="00BB37B6" w:rsidRDefault="00F12972">
      <w:pPr>
        <w:rPr>
          <w:rFonts w:asciiTheme="majorHAnsi" w:hAnsiTheme="majorHAnsi" w:cstheme="majorHAnsi"/>
          <w:b/>
        </w:rPr>
      </w:pPr>
    </w:p>
    <w:p w14:paraId="0000000A" w14:textId="77777777" w:rsidR="00F12972" w:rsidRPr="00BB37B6" w:rsidRDefault="00F12972">
      <w:pPr>
        <w:rPr>
          <w:rFonts w:asciiTheme="majorHAnsi" w:hAnsiTheme="majorHAnsi" w:cstheme="majorHAnsi"/>
          <w:b/>
        </w:rPr>
      </w:pPr>
    </w:p>
    <w:p w14:paraId="0000000B" w14:textId="3CF508A6" w:rsidR="00F12972" w:rsidRPr="00BB37B6" w:rsidRDefault="00F12972">
      <w:pPr>
        <w:rPr>
          <w:rFonts w:asciiTheme="majorHAnsi" w:hAnsiTheme="majorHAnsi" w:cstheme="majorHAnsi"/>
          <w:b/>
        </w:rPr>
      </w:pPr>
    </w:p>
    <w:p w14:paraId="0000000C" w14:textId="77777777" w:rsidR="00F12972" w:rsidRPr="00BB37B6" w:rsidRDefault="00F12972">
      <w:pPr>
        <w:rPr>
          <w:rFonts w:asciiTheme="majorHAnsi" w:hAnsiTheme="majorHAnsi" w:cstheme="majorHAnsi"/>
          <w:b/>
        </w:rPr>
      </w:pPr>
    </w:p>
    <w:p w14:paraId="0000000D" w14:textId="77777777" w:rsidR="00F12972" w:rsidRPr="00BB37B6" w:rsidRDefault="00F12972">
      <w:pPr>
        <w:rPr>
          <w:rFonts w:asciiTheme="majorHAnsi" w:hAnsiTheme="majorHAnsi" w:cstheme="majorHAnsi"/>
          <w:b/>
        </w:rPr>
      </w:pPr>
    </w:p>
    <w:p w14:paraId="0000000E" w14:textId="77777777" w:rsidR="00F12972" w:rsidRPr="00BB37B6" w:rsidRDefault="00F12972">
      <w:pPr>
        <w:rPr>
          <w:rFonts w:asciiTheme="majorHAnsi" w:hAnsiTheme="majorHAnsi" w:cstheme="majorHAnsi"/>
          <w:b/>
        </w:rPr>
      </w:pPr>
    </w:p>
    <w:p w14:paraId="0000000F" w14:textId="77777777" w:rsidR="00F12972" w:rsidRPr="00BB37B6" w:rsidRDefault="00F12972">
      <w:pPr>
        <w:rPr>
          <w:rFonts w:asciiTheme="majorHAnsi" w:hAnsiTheme="majorHAnsi" w:cstheme="majorHAnsi"/>
          <w:b/>
        </w:rPr>
      </w:pPr>
    </w:p>
    <w:p w14:paraId="00000010" w14:textId="77777777" w:rsidR="00F12972" w:rsidRPr="00BB37B6" w:rsidRDefault="00F12972">
      <w:pPr>
        <w:rPr>
          <w:rFonts w:asciiTheme="majorHAnsi" w:hAnsiTheme="majorHAnsi" w:cstheme="majorHAnsi"/>
          <w:b/>
        </w:rPr>
      </w:pPr>
    </w:p>
    <w:p w14:paraId="00000011" w14:textId="77777777" w:rsidR="00F12972" w:rsidRPr="00BB37B6" w:rsidRDefault="00F12972">
      <w:pPr>
        <w:rPr>
          <w:rFonts w:asciiTheme="majorHAnsi" w:hAnsiTheme="majorHAnsi" w:cstheme="majorHAnsi"/>
          <w:b/>
        </w:rPr>
      </w:pPr>
    </w:p>
    <w:p w14:paraId="00000012" w14:textId="5163C01E" w:rsidR="00F12972" w:rsidRDefault="00F12972">
      <w:pPr>
        <w:rPr>
          <w:rFonts w:asciiTheme="majorHAnsi" w:hAnsiTheme="majorHAnsi" w:cstheme="majorHAnsi"/>
          <w:b/>
        </w:rPr>
      </w:pPr>
    </w:p>
    <w:p w14:paraId="7ACE2C84" w14:textId="77777777" w:rsidR="00BB37B6" w:rsidRPr="00BB37B6" w:rsidRDefault="00BB37B6">
      <w:pPr>
        <w:rPr>
          <w:rFonts w:asciiTheme="majorHAnsi" w:hAnsiTheme="majorHAnsi" w:cstheme="majorHAnsi"/>
          <w:b/>
        </w:rPr>
      </w:pPr>
    </w:p>
    <w:p w14:paraId="00000013" w14:textId="77777777" w:rsidR="00F12972" w:rsidRPr="00BB37B6" w:rsidRDefault="00F12972">
      <w:pPr>
        <w:rPr>
          <w:rFonts w:asciiTheme="majorHAnsi" w:hAnsiTheme="majorHAnsi" w:cstheme="majorHAnsi"/>
          <w:b/>
        </w:rPr>
      </w:pPr>
    </w:p>
    <w:p w14:paraId="00000018" w14:textId="6DFDACF6" w:rsidR="00F12972" w:rsidRPr="00BB37B6" w:rsidRDefault="00F12972">
      <w:pPr>
        <w:rPr>
          <w:rFonts w:asciiTheme="majorHAnsi" w:hAnsiTheme="majorHAnsi" w:cstheme="majorHAnsi"/>
          <w:b/>
        </w:rPr>
      </w:pPr>
    </w:p>
    <w:p w14:paraId="00000019" w14:textId="698B6CE7" w:rsidR="00F12972" w:rsidRPr="00BB37B6" w:rsidRDefault="00BB37B6">
      <w:pPr>
        <w:spacing w:line="360" w:lineRule="auto"/>
        <w:rPr>
          <w:rFonts w:asciiTheme="majorHAnsi" w:eastAsia="Times New Roman" w:hAnsiTheme="majorHAnsi" w:cstheme="majorHAnsi"/>
        </w:rPr>
      </w:pPr>
      <w:r>
        <w:rPr>
          <w:rFonts w:asciiTheme="majorHAnsi" w:eastAsia="Times New Roman" w:hAnsiTheme="majorHAnsi" w:cstheme="majorHAnsi"/>
          <w:b/>
        </w:rPr>
        <w:lastRenderedPageBreak/>
        <w:t xml:space="preserve">2. </w:t>
      </w:r>
      <w:r w:rsidR="0001398A" w:rsidRPr="00BB37B6">
        <w:rPr>
          <w:rFonts w:asciiTheme="majorHAnsi" w:eastAsia="Times New Roman" w:hAnsiTheme="majorHAnsi" w:cstheme="majorHAnsi"/>
          <w:b/>
        </w:rPr>
        <w:t xml:space="preserve">Vedení proudu </w:t>
      </w:r>
      <w:r>
        <w:rPr>
          <w:rFonts w:asciiTheme="majorHAnsi" w:eastAsia="Times New Roman" w:hAnsiTheme="majorHAnsi" w:cstheme="majorHAnsi"/>
          <w:b/>
        </w:rPr>
        <w:t>tuhou</w:t>
      </w:r>
    </w:p>
    <w:p w14:paraId="0000001A" w14:textId="77777777" w:rsidR="00F12972" w:rsidRPr="00BB37B6" w:rsidRDefault="0001398A">
      <w:pPr>
        <w:spacing w:after="280" w:line="360" w:lineRule="auto"/>
        <w:jc w:val="both"/>
        <w:rPr>
          <w:rFonts w:asciiTheme="majorHAnsi" w:eastAsia="Times New Roman" w:hAnsiTheme="majorHAnsi" w:cstheme="majorHAnsi"/>
        </w:rPr>
      </w:pPr>
      <w:r w:rsidRPr="00BB37B6">
        <w:rPr>
          <w:rFonts w:asciiTheme="majorHAnsi" w:eastAsia="Times New Roman" w:hAnsiTheme="majorHAnsi" w:cstheme="majorHAnsi"/>
          <w:highlight w:val="white"/>
        </w:rPr>
        <w:t xml:space="preserve">Schopnost materiálu přenášet elektrický proud se nazývá </w:t>
      </w:r>
      <w:hyperlink r:id="rId17">
        <w:r w:rsidRPr="00BB37B6">
          <w:rPr>
            <w:rFonts w:asciiTheme="majorHAnsi" w:eastAsia="Times New Roman" w:hAnsiTheme="majorHAnsi" w:cstheme="majorHAnsi"/>
            <w:highlight w:val="white"/>
          </w:rPr>
          <w:t>konduktivita</w:t>
        </w:r>
      </w:hyperlink>
      <w:r w:rsidRPr="00BB37B6">
        <w:rPr>
          <w:rFonts w:asciiTheme="majorHAnsi" w:eastAsia="Times New Roman" w:hAnsiTheme="majorHAnsi" w:cstheme="majorHAnsi"/>
          <w:highlight w:val="white"/>
        </w:rPr>
        <w:t xml:space="preserve"> - měrná elektrická vodivost. Důležitou podmínkou vedení elektrického proudu látkou je přítomnost volných elektricky nabitých částic, typicky </w:t>
      </w:r>
      <w:hyperlink r:id="rId18">
        <w:r w:rsidRPr="00BB37B6">
          <w:rPr>
            <w:rFonts w:asciiTheme="majorHAnsi" w:eastAsia="Times New Roman" w:hAnsiTheme="majorHAnsi" w:cstheme="majorHAnsi"/>
            <w:highlight w:val="white"/>
          </w:rPr>
          <w:t>elektronů</w:t>
        </w:r>
      </w:hyperlink>
      <w:r w:rsidRPr="00BB37B6">
        <w:rPr>
          <w:rFonts w:asciiTheme="majorHAnsi" w:eastAsia="Times New Roman" w:hAnsiTheme="majorHAnsi" w:cstheme="majorHAnsi"/>
          <w:highlight w:val="white"/>
        </w:rPr>
        <w:t xml:space="preserve">. Látka, schopná vést elektrický proud, se nazývá vodič. Tuha se skládá z grafitu, což je uhlík s příměsí. </w:t>
      </w:r>
    </w:p>
    <w:p w14:paraId="0000001B" w14:textId="77777777" w:rsidR="00F12972" w:rsidRPr="00BB37B6" w:rsidRDefault="0001398A">
      <w:pPr>
        <w:spacing w:after="280" w:line="360" w:lineRule="auto"/>
        <w:jc w:val="both"/>
        <w:rPr>
          <w:rFonts w:asciiTheme="majorHAnsi" w:eastAsia="Times New Roman" w:hAnsiTheme="majorHAnsi" w:cstheme="majorHAnsi"/>
          <w:b/>
        </w:rPr>
      </w:pPr>
      <w:r w:rsidRPr="00BB37B6">
        <w:rPr>
          <w:rFonts w:asciiTheme="majorHAnsi" w:eastAsia="Times New Roman" w:hAnsiTheme="majorHAnsi" w:cstheme="majorHAnsi"/>
          <w:b/>
        </w:rPr>
        <w:t>Postup:</w:t>
      </w:r>
    </w:p>
    <w:p w14:paraId="0000001C" w14:textId="29633531" w:rsidR="00F12972" w:rsidRPr="00BB37B6" w:rsidRDefault="00BB37B6">
      <w:pPr>
        <w:numPr>
          <w:ilvl w:val="0"/>
          <w:numId w:val="1"/>
        </w:numPr>
        <w:spacing w:line="360" w:lineRule="auto"/>
        <w:jc w:val="both"/>
        <w:rPr>
          <w:rFonts w:asciiTheme="majorHAnsi" w:eastAsia="Times New Roman" w:hAnsiTheme="majorHAnsi" w:cstheme="majorHAnsi"/>
          <w:highlight w:val="white"/>
        </w:rPr>
      </w:pPr>
      <w:r>
        <w:rPr>
          <w:rFonts w:asciiTheme="majorHAnsi" w:eastAsia="Times New Roman" w:hAnsiTheme="majorHAnsi" w:cstheme="majorHAnsi"/>
          <w:highlight w:val="white"/>
        </w:rPr>
        <w:t>T</w:t>
      </w:r>
      <w:r w:rsidR="0001398A" w:rsidRPr="00BB37B6">
        <w:rPr>
          <w:rFonts w:asciiTheme="majorHAnsi" w:eastAsia="Times New Roman" w:hAnsiTheme="majorHAnsi" w:cstheme="majorHAnsi"/>
          <w:highlight w:val="white"/>
        </w:rPr>
        <w:t>užkou nakreslíme dvě tlusté rovnoběžné čáry</w:t>
      </w:r>
      <w:r>
        <w:rPr>
          <w:rFonts w:asciiTheme="majorHAnsi" w:eastAsia="Times New Roman" w:hAnsiTheme="majorHAnsi" w:cstheme="majorHAnsi"/>
          <w:highlight w:val="white"/>
        </w:rPr>
        <w:t>.</w:t>
      </w:r>
    </w:p>
    <w:p w14:paraId="0000001D" w14:textId="1FD00B10" w:rsidR="00F12972" w:rsidRPr="00BB37B6" w:rsidRDefault="00BB37B6">
      <w:pPr>
        <w:numPr>
          <w:ilvl w:val="0"/>
          <w:numId w:val="1"/>
        </w:numPr>
        <w:spacing w:line="360" w:lineRule="auto"/>
        <w:jc w:val="both"/>
        <w:rPr>
          <w:rFonts w:asciiTheme="majorHAnsi" w:eastAsia="Times New Roman" w:hAnsiTheme="majorHAnsi" w:cstheme="majorHAnsi"/>
          <w:highlight w:val="white"/>
        </w:rPr>
      </w:pPr>
      <w:r>
        <w:rPr>
          <w:rFonts w:asciiTheme="majorHAnsi" w:eastAsia="Times New Roman" w:hAnsiTheme="majorHAnsi" w:cstheme="majorHAnsi"/>
          <w:highlight w:val="white"/>
        </w:rPr>
        <w:t>N</w:t>
      </w:r>
      <w:r w:rsidR="0001398A" w:rsidRPr="00BB37B6">
        <w:rPr>
          <w:rFonts w:asciiTheme="majorHAnsi" w:eastAsia="Times New Roman" w:hAnsiTheme="majorHAnsi" w:cstheme="majorHAnsi"/>
          <w:highlight w:val="white"/>
        </w:rPr>
        <w:t>a jeden konec přiložíme 9 V baterii a nap</w:t>
      </w:r>
      <w:r>
        <w:rPr>
          <w:rFonts w:asciiTheme="majorHAnsi" w:eastAsia="Times New Roman" w:hAnsiTheme="majorHAnsi" w:cstheme="majorHAnsi"/>
          <w:highlight w:val="white"/>
        </w:rPr>
        <w:t>roti ní diodu,</w:t>
      </w:r>
      <w:r w:rsidR="0001398A" w:rsidRPr="00BB37B6">
        <w:rPr>
          <w:rFonts w:asciiTheme="majorHAnsi" w:eastAsia="Times New Roman" w:hAnsiTheme="majorHAnsi" w:cstheme="majorHAnsi"/>
          <w:highlight w:val="white"/>
        </w:rPr>
        <w:t xml:space="preserve"> je důležitá polarita</w:t>
      </w:r>
      <w:r>
        <w:rPr>
          <w:rFonts w:asciiTheme="majorHAnsi" w:eastAsia="Times New Roman" w:hAnsiTheme="majorHAnsi" w:cstheme="majorHAnsi"/>
          <w:highlight w:val="white"/>
        </w:rPr>
        <w:t>.</w:t>
      </w:r>
    </w:p>
    <w:p w14:paraId="0000001E" w14:textId="6738D23A" w:rsidR="00F12972" w:rsidRPr="00BB37B6" w:rsidRDefault="00BB37B6">
      <w:pPr>
        <w:numPr>
          <w:ilvl w:val="0"/>
          <w:numId w:val="1"/>
        </w:numPr>
        <w:spacing w:line="360" w:lineRule="auto"/>
        <w:jc w:val="both"/>
        <w:rPr>
          <w:rFonts w:asciiTheme="majorHAnsi" w:eastAsia="Times New Roman" w:hAnsiTheme="majorHAnsi" w:cstheme="majorHAnsi"/>
          <w:highlight w:val="white"/>
        </w:rPr>
      </w:pPr>
      <w:r>
        <w:rPr>
          <w:rFonts w:asciiTheme="majorHAnsi" w:eastAsia="Times New Roman" w:hAnsiTheme="majorHAnsi" w:cstheme="majorHAnsi"/>
          <w:highlight w:val="white"/>
        </w:rPr>
        <w:t>D</w:t>
      </w:r>
      <w:r w:rsidR="0001398A" w:rsidRPr="00BB37B6">
        <w:rPr>
          <w:rFonts w:asciiTheme="majorHAnsi" w:eastAsia="Times New Roman" w:hAnsiTheme="majorHAnsi" w:cstheme="majorHAnsi"/>
          <w:highlight w:val="white"/>
        </w:rPr>
        <w:t>ioda se rozsvítí, protože obvodem prochází elektrický proud</w:t>
      </w:r>
      <w:r>
        <w:rPr>
          <w:rFonts w:asciiTheme="majorHAnsi" w:eastAsia="Times New Roman" w:hAnsiTheme="majorHAnsi" w:cstheme="majorHAnsi"/>
          <w:highlight w:val="white"/>
        </w:rPr>
        <w:t>.</w:t>
      </w:r>
    </w:p>
    <w:p w14:paraId="0000001F" w14:textId="6A165245" w:rsidR="00F12972" w:rsidRPr="00BB37B6" w:rsidRDefault="00BB37B6">
      <w:pPr>
        <w:numPr>
          <w:ilvl w:val="0"/>
          <w:numId w:val="1"/>
        </w:numPr>
        <w:spacing w:line="360" w:lineRule="auto"/>
        <w:jc w:val="both"/>
        <w:rPr>
          <w:rFonts w:asciiTheme="majorHAnsi" w:eastAsia="Times New Roman" w:hAnsiTheme="majorHAnsi" w:cstheme="majorHAnsi"/>
          <w:highlight w:val="white"/>
        </w:rPr>
      </w:pPr>
      <w:r>
        <w:rPr>
          <w:rFonts w:asciiTheme="majorHAnsi" w:eastAsia="Times New Roman" w:hAnsiTheme="majorHAnsi" w:cstheme="majorHAnsi"/>
          <w:highlight w:val="white"/>
        </w:rPr>
        <w:t>D</w:t>
      </w:r>
      <w:r w:rsidR="0001398A" w:rsidRPr="00BB37B6">
        <w:rPr>
          <w:rFonts w:asciiTheme="majorHAnsi" w:eastAsia="Times New Roman" w:hAnsiTheme="majorHAnsi" w:cstheme="majorHAnsi"/>
          <w:highlight w:val="white"/>
        </w:rPr>
        <w:t>iodu můžeme přikládat v různé vzdálenosti od baterie – s délkou vodiče klesá intenzita záření diody</w:t>
      </w:r>
      <w:r>
        <w:rPr>
          <w:rFonts w:asciiTheme="majorHAnsi" w:eastAsia="Times New Roman" w:hAnsiTheme="majorHAnsi" w:cstheme="majorHAnsi"/>
          <w:highlight w:val="white"/>
        </w:rPr>
        <w:t>.</w:t>
      </w:r>
    </w:p>
    <w:p w14:paraId="7AA2C47B" w14:textId="77777777" w:rsidR="00144F68" w:rsidRPr="00BB37B6" w:rsidRDefault="00144F68" w:rsidP="00BB37B6">
      <w:pPr>
        <w:spacing w:line="360" w:lineRule="auto"/>
        <w:ind w:left="720"/>
        <w:jc w:val="both"/>
        <w:rPr>
          <w:rFonts w:asciiTheme="majorHAnsi" w:eastAsia="Times New Roman" w:hAnsiTheme="majorHAnsi" w:cstheme="majorHAnsi"/>
          <w:highlight w:val="white"/>
        </w:rPr>
      </w:pPr>
    </w:p>
    <w:p w14:paraId="00000021" w14:textId="1F4620ED" w:rsidR="00F12972" w:rsidRPr="00BB37B6" w:rsidRDefault="0001398A">
      <w:pPr>
        <w:spacing w:after="280" w:line="360" w:lineRule="auto"/>
        <w:jc w:val="both"/>
        <w:rPr>
          <w:rFonts w:asciiTheme="majorHAnsi" w:eastAsia="Times New Roman" w:hAnsiTheme="majorHAnsi" w:cstheme="majorHAnsi"/>
          <w:b/>
          <w:color w:val="000000" w:themeColor="text1"/>
        </w:rPr>
      </w:pPr>
      <w:r w:rsidRPr="00BB37B6">
        <w:rPr>
          <w:rFonts w:asciiTheme="majorHAnsi" w:eastAsia="Times New Roman" w:hAnsiTheme="majorHAnsi" w:cstheme="majorHAnsi"/>
          <w:b/>
          <w:color w:val="000000" w:themeColor="text1"/>
        </w:rPr>
        <w:t>Vysvětlení:</w:t>
      </w:r>
    </w:p>
    <w:p w14:paraId="00000023" w14:textId="7B8748CD" w:rsidR="00F12972" w:rsidRPr="00BB37B6" w:rsidRDefault="0001398A">
      <w:pPr>
        <w:shd w:val="clear" w:color="auto" w:fill="FFFFFF"/>
        <w:spacing w:after="300" w:line="360" w:lineRule="auto"/>
        <w:jc w:val="both"/>
        <w:rPr>
          <w:rFonts w:asciiTheme="majorHAnsi" w:eastAsia="Times New Roman" w:hAnsiTheme="majorHAnsi" w:cstheme="majorHAnsi"/>
          <w:highlight w:val="white"/>
        </w:rPr>
      </w:pPr>
      <w:r w:rsidRPr="00BB37B6">
        <w:rPr>
          <w:rFonts w:asciiTheme="majorHAnsi" w:eastAsia="Times New Roman" w:hAnsiTheme="majorHAnsi" w:cstheme="majorHAnsi"/>
          <w:highlight w:val="white"/>
        </w:rPr>
        <w:t xml:space="preserve">Jedním z vodičů vážně může být i obyčejná </w:t>
      </w:r>
      <w:r w:rsidR="00BB37B6">
        <w:rPr>
          <w:rFonts w:asciiTheme="majorHAnsi" w:eastAsia="Times New Roman" w:hAnsiTheme="majorHAnsi" w:cstheme="majorHAnsi"/>
          <w:highlight w:val="white"/>
        </w:rPr>
        <w:t>tužka.</w:t>
      </w:r>
      <w:r w:rsidRPr="00BB37B6">
        <w:rPr>
          <w:rFonts w:asciiTheme="majorHAnsi" w:eastAsia="Times New Roman" w:hAnsiTheme="majorHAnsi" w:cstheme="majorHAnsi"/>
          <w:highlight w:val="white"/>
        </w:rPr>
        <w:t xml:space="preserve"> Z uhlíku se dokonce vyrábí elektrody.</w:t>
      </w:r>
      <w:r w:rsidRPr="00BB37B6">
        <w:rPr>
          <w:rFonts w:asciiTheme="majorHAnsi" w:eastAsia="Times New Roman" w:hAnsiTheme="majorHAnsi" w:cstheme="majorHAnsi"/>
        </w:rPr>
        <w:t>V našem pokusu funguje jako vodič tužkou nakreslená čára. Grafit, jinými slovy tuha, je nejměkčí nerost a současně nejčastější přírodní modifikace uhlíku. Přestože je uhlík typickým zástupcem nekovů, grafit vede velmi dobře elektrický proud. Je to dáno strukturou grafitu: atomy uhlíku se váží kovalentními vazbami do vrstev vždy se třemi nejbližšími atomy. Vrstvy jsou spojeny van der Waalsovými vazbami. Atom uhlíku je však čtyřvazný (má čtyři valenční elektrony). Čtvrtý, „nadbytečný” elektron má schopnost pohybovat se po uhlíkových vrstvách – připojením vodiče ke zdroji napětí se pohyb elektronů usměrní a ty se budou pohybovat od záporného ke kladnému pólu zdroje.</w:t>
      </w:r>
    </w:p>
    <w:p w14:paraId="00000024" w14:textId="77777777" w:rsidR="00F12972" w:rsidRPr="00BB37B6" w:rsidRDefault="0001398A">
      <w:pPr>
        <w:shd w:val="clear" w:color="auto" w:fill="FFFFFF"/>
        <w:spacing w:after="300" w:line="360" w:lineRule="auto"/>
        <w:jc w:val="both"/>
        <w:rPr>
          <w:rFonts w:asciiTheme="majorHAnsi" w:hAnsiTheme="majorHAnsi" w:cstheme="majorHAnsi"/>
          <w:b/>
        </w:rPr>
      </w:pPr>
      <w:r w:rsidRPr="00BB37B6">
        <w:rPr>
          <w:rFonts w:asciiTheme="majorHAnsi" w:eastAsia="Times New Roman" w:hAnsiTheme="majorHAnsi" w:cstheme="majorHAnsi"/>
        </w:rPr>
        <w:t xml:space="preserve">Grafit má díky své vodivosti velmi široké využití. Bývá například součástí elektromotorů různých domácích spotřebičů nebo se používá při výrobě elektrod. </w:t>
      </w:r>
    </w:p>
    <w:p w14:paraId="00000025" w14:textId="528EBA30" w:rsidR="00F12972" w:rsidRDefault="00F12972">
      <w:pPr>
        <w:rPr>
          <w:rFonts w:asciiTheme="majorHAnsi" w:hAnsiTheme="majorHAnsi" w:cstheme="majorHAnsi"/>
          <w:b/>
        </w:rPr>
      </w:pPr>
    </w:p>
    <w:p w14:paraId="4889B58E" w14:textId="77777777" w:rsidR="00BB37B6" w:rsidRPr="00BB37B6" w:rsidRDefault="00BB37B6">
      <w:pPr>
        <w:rPr>
          <w:rFonts w:asciiTheme="majorHAnsi" w:hAnsiTheme="majorHAnsi" w:cstheme="majorHAnsi"/>
          <w:b/>
        </w:rPr>
      </w:pPr>
    </w:p>
    <w:p w14:paraId="00000026" w14:textId="372E1261" w:rsidR="00F12972" w:rsidRPr="00BB37B6" w:rsidRDefault="00BB37B6">
      <w:pPr>
        <w:rPr>
          <w:rFonts w:asciiTheme="majorHAnsi" w:eastAsia="Times New Roman" w:hAnsiTheme="majorHAnsi" w:cstheme="majorHAnsi"/>
        </w:rPr>
      </w:pPr>
      <w:r>
        <w:rPr>
          <w:rFonts w:asciiTheme="majorHAnsi" w:eastAsia="Times New Roman" w:hAnsiTheme="majorHAnsi" w:cstheme="majorHAnsi"/>
          <w:b/>
        </w:rPr>
        <w:lastRenderedPageBreak/>
        <w:t xml:space="preserve">3. </w:t>
      </w:r>
      <w:r w:rsidR="0001398A" w:rsidRPr="00BB37B6">
        <w:rPr>
          <w:rFonts w:asciiTheme="majorHAnsi" w:eastAsia="Times New Roman" w:hAnsiTheme="majorHAnsi" w:cstheme="majorHAnsi"/>
          <w:b/>
        </w:rPr>
        <w:t xml:space="preserve">Kádinka v oleji </w:t>
      </w:r>
    </w:p>
    <w:p w14:paraId="00000027" w14:textId="0B876C4E" w:rsidR="00F12972" w:rsidRPr="00BB37B6" w:rsidRDefault="0001398A">
      <w:pPr>
        <w:spacing w:before="240" w:after="240" w:line="360" w:lineRule="auto"/>
        <w:jc w:val="both"/>
        <w:rPr>
          <w:rFonts w:asciiTheme="majorHAnsi" w:eastAsia="Times New Roman" w:hAnsiTheme="majorHAnsi" w:cstheme="majorHAnsi"/>
          <w:highlight w:val="white"/>
        </w:rPr>
      </w:pPr>
      <w:r w:rsidRPr="00BB37B6">
        <w:rPr>
          <w:rFonts w:asciiTheme="majorHAnsi" w:eastAsia="Times New Roman" w:hAnsiTheme="majorHAnsi" w:cstheme="majorHAnsi"/>
        </w:rPr>
        <w:t>Máme připravené 2 stejně velké kádinky. V jedné kádince je obyčejný slunečnicový olej. V druhé kádince stejné velikosti je vložená ješ</w:t>
      </w:r>
      <w:r w:rsidR="00BB37B6">
        <w:rPr>
          <w:rFonts w:asciiTheme="majorHAnsi" w:eastAsia="Times New Roman" w:hAnsiTheme="majorHAnsi" w:cstheme="majorHAnsi"/>
        </w:rPr>
        <w:t xml:space="preserve">tě další, menší kádinka. </w:t>
      </w:r>
      <w:r w:rsidRPr="00BB37B6">
        <w:rPr>
          <w:rFonts w:asciiTheme="majorHAnsi" w:eastAsia="Times New Roman" w:hAnsiTheme="majorHAnsi" w:cstheme="majorHAnsi"/>
          <w:highlight w:val="white"/>
        </w:rPr>
        <w:t xml:space="preserve">Slunečnicový olej je netěkavý </w:t>
      </w:r>
      <w:hyperlink r:id="rId19">
        <w:r w:rsidRPr="00BB37B6">
          <w:rPr>
            <w:rFonts w:asciiTheme="majorHAnsi" w:eastAsia="Times New Roman" w:hAnsiTheme="majorHAnsi" w:cstheme="majorHAnsi"/>
            <w:highlight w:val="white"/>
          </w:rPr>
          <w:t>olej</w:t>
        </w:r>
      </w:hyperlink>
      <w:r w:rsidRPr="00BB37B6">
        <w:rPr>
          <w:rFonts w:asciiTheme="majorHAnsi" w:eastAsia="Times New Roman" w:hAnsiTheme="majorHAnsi" w:cstheme="majorHAnsi"/>
          <w:highlight w:val="white"/>
        </w:rPr>
        <w:t xml:space="preserve"> získávaný ze </w:t>
      </w:r>
      <w:hyperlink r:id="rId20">
        <w:r w:rsidRPr="00BB37B6">
          <w:rPr>
            <w:rFonts w:asciiTheme="majorHAnsi" w:eastAsia="Times New Roman" w:hAnsiTheme="majorHAnsi" w:cstheme="majorHAnsi"/>
            <w:highlight w:val="white"/>
          </w:rPr>
          <w:t>semen</w:t>
        </w:r>
      </w:hyperlink>
      <w:r w:rsidRPr="00BB37B6">
        <w:rPr>
          <w:rFonts w:asciiTheme="majorHAnsi" w:eastAsia="Times New Roman" w:hAnsiTheme="majorHAnsi" w:cstheme="majorHAnsi"/>
          <w:highlight w:val="white"/>
        </w:rPr>
        <w:t xml:space="preserve"> </w:t>
      </w:r>
      <w:hyperlink r:id="rId21">
        <w:r w:rsidRPr="00BB37B6">
          <w:rPr>
            <w:rFonts w:asciiTheme="majorHAnsi" w:eastAsia="Times New Roman" w:hAnsiTheme="majorHAnsi" w:cstheme="majorHAnsi"/>
            <w:highlight w:val="white"/>
          </w:rPr>
          <w:t>slunečnice</w:t>
        </w:r>
      </w:hyperlink>
      <w:r w:rsidRPr="00BB37B6">
        <w:rPr>
          <w:rFonts w:asciiTheme="majorHAnsi" w:eastAsia="Times New Roman" w:hAnsiTheme="majorHAnsi" w:cstheme="majorHAnsi"/>
          <w:highlight w:val="white"/>
        </w:rPr>
        <w:t xml:space="preserve"> (Helianthus annuus). Běžně se používá jako jedlý olej do potravin a také jako zvláčňující složka v </w:t>
      </w:r>
      <w:hyperlink r:id="rId22">
        <w:r w:rsidRPr="00BB37B6">
          <w:rPr>
            <w:rFonts w:asciiTheme="majorHAnsi" w:eastAsia="Times New Roman" w:hAnsiTheme="majorHAnsi" w:cstheme="majorHAnsi"/>
            <w:highlight w:val="white"/>
          </w:rPr>
          <w:t>kosmetických</w:t>
        </w:r>
      </w:hyperlink>
      <w:r w:rsidRPr="00BB37B6">
        <w:rPr>
          <w:rFonts w:asciiTheme="majorHAnsi" w:eastAsia="Times New Roman" w:hAnsiTheme="majorHAnsi" w:cstheme="majorHAnsi"/>
          <w:highlight w:val="white"/>
        </w:rPr>
        <w:t xml:space="preserve"> přípravcích.</w:t>
      </w:r>
    </w:p>
    <w:p w14:paraId="00000028" w14:textId="77777777" w:rsidR="00F12972" w:rsidRPr="00BB37B6" w:rsidRDefault="0001398A">
      <w:pPr>
        <w:spacing w:before="240" w:after="240" w:line="360" w:lineRule="auto"/>
        <w:jc w:val="both"/>
        <w:rPr>
          <w:rFonts w:asciiTheme="majorHAnsi" w:eastAsia="Times New Roman" w:hAnsiTheme="majorHAnsi" w:cstheme="majorHAnsi"/>
          <w:highlight w:val="white"/>
        </w:rPr>
      </w:pPr>
      <w:r w:rsidRPr="00BB37B6">
        <w:rPr>
          <w:rFonts w:asciiTheme="majorHAnsi" w:eastAsia="Times New Roman" w:hAnsiTheme="majorHAnsi" w:cstheme="majorHAnsi"/>
          <w:highlight w:val="white"/>
        </w:rPr>
        <w:t>Olej z kádinky přelijeme do prázdné kádinky tak, aby hladina oleje byla nad malou kádinkou. Malá kádinka najednou není vidět, naopak se objevila v první kádince. Co se stalo? Zmizela, přemístila se?</w:t>
      </w:r>
    </w:p>
    <w:p w14:paraId="00000029" w14:textId="77777777" w:rsidR="00F12972" w:rsidRPr="00BB37B6" w:rsidRDefault="0001398A">
      <w:pPr>
        <w:spacing w:before="240" w:after="240" w:line="360" w:lineRule="auto"/>
        <w:jc w:val="both"/>
        <w:rPr>
          <w:rFonts w:asciiTheme="majorHAnsi" w:eastAsia="Times New Roman" w:hAnsiTheme="majorHAnsi" w:cstheme="majorHAnsi"/>
        </w:rPr>
      </w:pPr>
      <w:r w:rsidRPr="00BB37B6">
        <w:rPr>
          <w:rFonts w:asciiTheme="majorHAnsi" w:eastAsia="Times New Roman" w:hAnsiTheme="majorHAnsi" w:cstheme="majorHAnsi"/>
        </w:rPr>
        <w:t xml:space="preserve">Index lomu </w:t>
      </w:r>
      <w:r w:rsidRPr="00BB37B6">
        <w:rPr>
          <w:rFonts w:asciiTheme="majorHAnsi" w:eastAsia="Times New Roman" w:hAnsiTheme="majorHAnsi" w:cstheme="majorHAnsi"/>
          <w:highlight w:val="white"/>
        </w:rPr>
        <w:t xml:space="preserve">(značí se </w:t>
      </w:r>
      <w:r w:rsidRPr="00BB37B6">
        <w:rPr>
          <w:rFonts w:asciiTheme="majorHAnsi" w:eastAsia="Times New Roman" w:hAnsiTheme="majorHAnsi" w:cstheme="majorHAnsi"/>
          <w:i/>
          <w:highlight w:val="white"/>
        </w:rPr>
        <w:t>n</w:t>
      </w:r>
      <w:r w:rsidRPr="00BB37B6">
        <w:rPr>
          <w:rFonts w:asciiTheme="majorHAnsi" w:eastAsia="Times New Roman" w:hAnsiTheme="majorHAnsi" w:cstheme="majorHAnsi"/>
          <w:highlight w:val="white"/>
        </w:rPr>
        <w:t xml:space="preserve"> nebo </w:t>
      </w:r>
      <w:r w:rsidRPr="00BB37B6">
        <w:rPr>
          <w:rFonts w:asciiTheme="majorHAnsi" w:eastAsia="Times New Roman" w:hAnsiTheme="majorHAnsi" w:cstheme="majorHAnsi"/>
          <w:i/>
          <w:highlight w:val="white"/>
        </w:rPr>
        <w:t>N</w:t>
      </w:r>
      <w:r w:rsidRPr="00BB37B6">
        <w:rPr>
          <w:rFonts w:asciiTheme="majorHAnsi" w:eastAsia="Times New Roman" w:hAnsiTheme="majorHAnsi" w:cstheme="majorHAnsi"/>
          <w:highlight w:val="white"/>
        </w:rPr>
        <w:t xml:space="preserve">) je </w:t>
      </w:r>
      <w:hyperlink r:id="rId23">
        <w:r w:rsidRPr="00BB37B6">
          <w:rPr>
            <w:rFonts w:asciiTheme="majorHAnsi" w:eastAsia="Times New Roman" w:hAnsiTheme="majorHAnsi" w:cstheme="majorHAnsi"/>
            <w:highlight w:val="white"/>
          </w:rPr>
          <w:t>fyzikální veličina</w:t>
        </w:r>
      </w:hyperlink>
      <w:r w:rsidRPr="00BB37B6">
        <w:rPr>
          <w:rFonts w:asciiTheme="majorHAnsi" w:eastAsia="Times New Roman" w:hAnsiTheme="majorHAnsi" w:cstheme="majorHAnsi"/>
          <w:highlight w:val="white"/>
        </w:rPr>
        <w:t xml:space="preserve"> popisující šíření </w:t>
      </w:r>
      <w:hyperlink r:id="rId24">
        <w:r w:rsidRPr="00BB37B6">
          <w:rPr>
            <w:rFonts w:asciiTheme="majorHAnsi" w:eastAsia="Times New Roman" w:hAnsiTheme="majorHAnsi" w:cstheme="majorHAnsi"/>
            <w:highlight w:val="white"/>
          </w:rPr>
          <w:t>světla</w:t>
        </w:r>
      </w:hyperlink>
      <w:r w:rsidRPr="00BB37B6">
        <w:rPr>
          <w:rFonts w:asciiTheme="majorHAnsi" w:eastAsia="Times New Roman" w:hAnsiTheme="majorHAnsi" w:cstheme="majorHAnsi"/>
          <w:highlight w:val="white"/>
        </w:rPr>
        <w:t xml:space="preserve"> a všeobecně </w:t>
      </w:r>
      <w:hyperlink r:id="rId25">
        <w:r w:rsidRPr="00BB37B6">
          <w:rPr>
            <w:rFonts w:asciiTheme="majorHAnsi" w:eastAsia="Times New Roman" w:hAnsiTheme="majorHAnsi" w:cstheme="majorHAnsi"/>
            <w:highlight w:val="white"/>
          </w:rPr>
          <w:t>elektromagnetického záření</w:t>
        </w:r>
      </w:hyperlink>
      <w:r w:rsidRPr="00BB37B6">
        <w:rPr>
          <w:rFonts w:asciiTheme="majorHAnsi" w:eastAsia="Times New Roman" w:hAnsiTheme="majorHAnsi" w:cstheme="majorHAnsi"/>
          <w:highlight w:val="white"/>
        </w:rPr>
        <w:t xml:space="preserve"> v </w:t>
      </w:r>
      <w:hyperlink r:id="rId26">
        <w:r w:rsidRPr="00BB37B6">
          <w:rPr>
            <w:rFonts w:asciiTheme="majorHAnsi" w:eastAsia="Times New Roman" w:hAnsiTheme="majorHAnsi" w:cstheme="majorHAnsi"/>
            <w:highlight w:val="white"/>
          </w:rPr>
          <w:t>látkách</w:t>
        </w:r>
      </w:hyperlink>
      <w:r w:rsidRPr="00BB37B6">
        <w:rPr>
          <w:rFonts w:asciiTheme="majorHAnsi" w:eastAsia="Times New Roman" w:hAnsiTheme="majorHAnsi" w:cstheme="majorHAnsi"/>
          <w:highlight w:val="white"/>
        </w:rPr>
        <w:t xml:space="preserve">. Index lomu </w:t>
      </w:r>
      <w:r w:rsidRPr="00BB37B6">
        <w:rPr>
          <w:rFonts w:asciiTheme="majorHAnsi" w:eastAsia="Times New Roman" w:hAnsiTheme="majorHAnsi" w:cstheme="majorHAnsi"/>
        </w:rPr>
        <w:t xml:space="preserve">nám zprostředkovaně říká, jakou rychlostí se v daném optickém prostředí šíří světlo a mezi dvěma prostředími určuje, o kolik se vychýlí paprsek světla při přechodu z jednoho prostředí do druhého. </w:t>
      </w:r>
    </w:p>
    <w:p w14:paraId="0000002A" w14:textId="77777777" w:rsidR="00F12972" w:rsidRPr="00BB37B6" w:rsidRDefault="0001398A">
      <w:pPr>
        <w:spacing w:before="240" w:after="240" w:line="360" w:lineRule="auto"/>
        <w:jc w:val="both"/>
        <w:rPr>
          <w:rFonts w:asciiTheme="majorHAnsi" w:eastAsia="Times New Roman" w:hAnsiTheme="majorHAnsi" w:cstheme="majorHAnsi"/>
        </w:rPr>
      </w:pPr>
      <w:r w:rsidRPr="00BB37B6">
        <w:rPr>
          <w:rFonts w:asciiTheme="majorHAnsi" w:eastAsia="Times New Roman" w:hAnsiTheme="majorHAnsi" w:cstheme="majorHAnsi"/>
        </w:rPr>
        <w:t xml:space="preserve">V našem pokuse budeme pozorovat zvláštní jev, kdy obě prostředí mají stejný index lomu, a tedy světlo se neláme a přechod mezi nimi (prostředími) není vidět.  </w:t>
      </w:r>
    </w:p>
    <w:p w14:paraId="0000002B" w14:textId="77777777" w:rsidR="00F12972" w:rsidRPr="00BB37B6" w:rsidRDefault="0001398A">
      <w:pPr>
        <w:spacing w:before="240" w:after="240" w:line="360" w:lineRule="auto"/>
        <w:jc w:val="both"/>
        <w:rPr>
          <w:rFonts w:asciiTheme="majorHAnsi" w:eastAsia="Times New Roman" w:hAnsiTheme="majorHAnsi" w:cstheme="majorHAnsi"/>
        </w:rPr>
      </w:pPr>
      <w:r w:rsidRPr="00BB37B6">
        <w:rPr>
          <w:rFonts w:asciiTheme="majorHAnsi" w:eastAsia="Times New Roman" w:hAnsiTheme="majorHAnsi" w:cstheme="majorHAnsi"/>
          <w:highlight w:val="white"/>
        </w:rPr>
        <w:t xml:space="preserve">Dopadá-li </w:t>
      </w:r>
      <w:hyperlink r:id="rId27">
        <w:r w:rsidRPr="00BB37B6">
          <w:rPr>
            <w:rFonts w:asciiTheme="majorHAnsi" w:eastAsia="Times New Roman" w:hAnsiTheme="majorHAnsi" w:cstheme="majorHAnsi"/>
            <w:highlight w:val="white"/>
          </w:rPr>
          <w:t>světlo</w:t>
        </w:r>
      </w:hyperlink>
      <w:r w:rsidRPr="00BB37B6">
        <w:rPr>
          <w:rFonts w:asciiTheme="majorHAnsi" w:eastAsia="Times New Roman" w:hAnsiTheme="majorHAnsi" w:cstheme="majorHAnsi"/>
          <w:highlight w:val="white"/>
        </w:rPr>
        <w:t xml:space="preserve"> na rozhraní dvou různých optických prostředí, dochází k jeho odrazu (paprsek se vrací do prostředí, ze kterého přišel pod stejným úhlem a ve stejné rovině) a lomu (paprsek se lomí do druhého prostředí). Při lomu světla paprsek dopadající pod úhlem α od kolmice na optické rozhraní mění svůj směr a láme se pod úhlem β se změněnou rychlostí, charakteristickou pro druhé prostředí.</w:t>
      </w:r>
    </w:p>
    <w:p w14:paraId="0000002C" w14:textId="77777777" w:rsidR="00F12972" w:rsidRDefault="00F12972">
      <w:pPr>
        <w:rPr>
          <w:rFonts w:ascii="Tahoma" w:eastAsia="Tahoma" w:hAnsi="Tahoma" w:cs="Tahoma"/>
          <w:b/>
        </w:rPr>
      </w:pPr>
    </w:p>
    <w:p w14:paraId="0000002D" w14:textId="77777777" w:rsidR="00F12972" w:rsidRDefault="00F12972">
      <w:pPr>
        <w:rPr>
          <w:rFonts w:ascii="Tahoma" w:eastAsia="Tahoma" w:hAnsi="Tahoma" w:cs="Tahoma"/>
          <w:b/>
        </w:rPr>
      </w:pPr>
    </w:p>
    <w:p w14:paraId="0000002E" w14:textId="77777777" w:rsidR="00F12972" w:rsidRDefault="00F12972">
      <w:pPr>
        <w:rPr>
          <w:rFonts w:ascii="Tahoma" w:eastAsia="Tahoma" w:hAnsi="Tahoma" w:cs="Tahoma"/>
          <w:b/>
        </w:rPr>
      </w:pPr>
    </w:p>
    <w:p w14:paraId="0000002F" w14:textId="77777777" w:rsidR="00F12972" w:rsidRDefault="00F12972">
      <w:pPr>
        <w:rPr>
          <w:rFonts w:ascii="Tahoma" w:eastAsia="Tahoma" w:hAnsi="Tahoma" w:cs="Tahoma"/>
          <w:b/>
        </w:rPr>
      </w:pPr>
    </w:p>
    <w:p w14:paraId="00000030" w14:textId="77777777" w:rsidR="00F12972" w:rsidRDefault="00F12972">
      <w:pPr>
        <w:rPr>
          <w:rFonts w:ascii="Tahoma" w:eastAsia="Tahoma" w:hAnsi="Tahoma" w:cs="Tahoma"/>
          <w:b/>
        </w:rPr>
      </w:pPr>
    </w:p>
    <w:p w14:paraId="00000031" w14:textId="77777777" w:rsidR="00F12972" w:rsidRDefault="00F12972">
      <w:pPr>
        <w:rPr>
          <w:rFonts w:ascii="Tahoma" w:eastAsia="Tahoma" w:hAnsi="Tahoma" w:cs="Tahoma"/>
          <w:b/>
        </w:rPr>
      </w:pPr>
    </w:p>
    <w:p w14:paraId="00000032" w14:textId="65C036EF" w:rsidR="00F12972" w:rsidRDefault="00F12972">
      <w:pPr>
        <w:rPr>
          <w:rFonts w:ascii="Tahoma" w:eastAsia="Tahoma" w:hAnsi="Tahoma" w:cs="Tahoma"/>
          <w:b/>
        </w:rPr>
      </w:pPr>
    </w:p>
    <w:p w14:paraId="1A085002" w14:textId="77777777" w:rsidR="00BB37B6" w:rsidRDefault="00BB37B6">
      <w:pPr>
        <w:rPr>
          <w:rFonts w:ascii="Tahoma" w:eastAsia="Tahoma" w:hAnsi="Tahoma" w:cs="Tahoma"/>
          <w:b/>
        </w:rPr>
      </w:pPr>
    </w:p>
    <w:p w14:paraId="00000033" w14:textId="77777777" w:rsidR="00F12972" w:rsidRDefault="00F12972">
      <w:pPr>
        <w:rPr>
          <w:rFonts w:ascii="Tahoma" w:eastAsia="Tahoma" w:hAnsi="Tahoma" w:cs="Tahoma"/>
          <w:b/>
        </w:rPr>
      </w:pPr>
    </w:p>
    <w:p w14:paraId="00000034" w14:textId="30FCFB61" w:rsidR="00F12972" w:rsidRDefault="00F12972">
      <w:pPr>
        <w:rPr>
          <w:rFonts w:ascii="Tahoma" w:eastAsia="Tahoma" w:hAnsi="Tahoma" w:cs="Tahoma"/>
        </w:rPr>
      </w:pPr>
    </w:p>
    <w:p w14:paraId="74447A06" w14:textId="11F384D1" w:rsidR="00BB37B6" w:rsidRPr="00BB37B6" w:rsidRDefault="00BB37B6">
      <w:pPr>
        <w:rPr>
          <w:rFonts w:ascii="Tahoma" w:eastAsia="Tahoma" w:hAnsi="Tahoma" w:cs="Tahoma"/>
          <w:b/>
        </w:rPr>
      </w:pPr>
      <w:proofErr w:type="spellStart"/>
      <w:r w:rsidRPr="00BB37B6">
        <w:rPr>
          <w:rFonts w:ascii="Tahoma" w:eastAsia="Tahoma" w:hAnsi="Tahoma" w:cs="Tahoma"/>
          <w:b/>
        </w:rPr>
        <w:lastRenderedPageBreak/>
        <w:t>Zdroje</w:t>
      </w:r>
      <w:proofErr w:type="spellEnd"/>
      <w:r w:rsidRPr="00BB37B6">
        <w:rPr>
          <w:rFonts w:ascii="Tahoma" w:eastAsia="Tahoma" w:hAnsi="Tahoma" w:cs="Tahoma"/>
          <w:b/>
        </w:rPr>
        <w:t>:</w:t>
      </w:r>
    </w:p>
    <w:p w14:paraId="463B0025" w14:textId="5C00CC25" w:rsidR="00BB37B6" w:rsidRDefault="00BB37B6">
      <w:pPr>
        <w:rPr>
          <w:color w:val="212529"/>
          <w:shd w:val="clear" w:color="auto" w:fill="FFFFFF"/>
        </w:rPr>
      </w:pPr>
      <w:r>
        <w:rPr>
          <w:color w:val="212529"/>
          <w:shd w:val="clear" w:color="auto" w:fill="FFFFFF"/>
        </w:rPr>
        <w:t>RAUNER, Karel. </w:t>
      </w:r>
      <w:proofErr w:type="spellStart"/>
      <w:r>
        <w:rPr>
          <w:i/>
          <w:iCs/>
          <w:color w:val="212529"/>
          <w:shd w:val="clear" w:color="auto" w:fill="FFFFFF"/>
        </w:rPr>
        <w:t>Fyzika</w:t>
      </w:r>
      <w:proofErr w:type="spellEnd"/>
      <w:r>
        <w:rPr>
          <w:i/>
          <w:iCs/>
          <w:color w:val="212529"/>
          <w:shd w:val="clear" w:color="auto" w:fill="FFFFFF"/>
        </w:rPr>
        <w:t xml:space="preserve"> pro 6. </w:t>
      </w:r>
      <w:proofErr w:type="spellStart"/>
      <w:proofErr w:type="gramStart"/>
      <w:r>
        <w:rPr>
          <w:i/>
          <w:iCs/>
          <w:color w:val="212529"/>
          <w:shd w:val="clear" w:color="auto" w:fill="FFFFFF"/>
        </w:rPr>
        <w:t>ročník</w:t>
      </w:r>
      <w:proofErr w:type="spellEnd"/>
      <w:proofErr w:type="gramEnd"/>
      <w:r>
        <w:rPr>
          <w:i/>
          <w:iCs/>
          <w:color w:val="212529"/>
          <w:shd w:val="clear" w:color="auto" w:fill="FFFFFF"/>
        </w:rPr>
        <w:t xml:space="preserve"> </w:t>
      </w:r>
      <w:proofErr w:type="spellStart"/>
      <w:r>
        <w:rPr>
          <w:i/>
          <w:iCs/>
          <w:color w:val="212529"/>
          <w:shd w:val="clear" w:color="auto" w:fill="FFFFFF"/>
        </w:rPr>
        <w:t>základní</w:t>
      </w:r>
      <w:proofErr w:type="spellEnd"/>
      <w:r>
        <w:rPr>
          <w:i/>
          <w:iCs/>
          <w:color w:val="212529"/>
          <w:shd w:val="clear" w:color="auto" w:fill="FFFFFF"/>
        </w:rPr>
        <w:t xml:space="preserve"> </w:t>
      </w:r>
      <w:proofErr w:type="spellStart"/>
      <w:r>
        <w:rPr>
          <w:i/>
          <w:iCs/>
          <w:color w:val="212529"/>
          <w:shd w:val="clear" w:color="auto" w:fill="FFFFFF"/>
        </w:rPr>
        <w:t>školy</w:t>
      </w:r>
      <w:proofErr w:type="spellEnd"/>
      <w:r>
        <w:rPr>
          <w:i/>
          <w:iCs/>
          <w:color w:val="212529"/>
          <w:shd w:val="clear" w:color="auto" w:fill="FFFFFF"/>
        </w:rPr>
        <w:t xml:space="preserve"> a </w:t>
      </w:r>
      <w:proofErr w:type="spellStart"/>
      <w:r>
        <w:rPr>
          <w:i/>
          <w:iCs/>
          <w:color w:val="212529"/>
          <w:shd w:val="clear" w:color="auto" w:fill="FFFFFF"/>
        </w:rPr>
        <w:t>primu</w:t>
      </w:r>
      <w:proofErr w:type="spellEnd"/>
      <w:r>
        <w:rPr>
          <w:i/>
          <w:iCs/>
          <w:color w:val="212529"/>
          <w:shd w:val="clear" w:color="auto" w:fill="FFFFFF"/>
        </w:rPr>
        <w:t xml:space="preserve"> </w:t>
      </w:r>
      <w:proofErr w:type="spellStart"/>
      <w:r>
        <w:rPr>
          <w:i/>
          <w:iCs/>
          <w:color w:val="212529"/>
          <w:shd w:val="clear" w:color="auto" w:fill="FFFFFF"/>
        </w:rPr>
        <w:t>víceletého</w:t>
      </w:r>
      <w:proofErr w:type="spellEnd"/>
      <w:r>
        <w:rPr>
          <w:i/>
          <w:iCs/>
          <w:color w:val="212529"/>
          <w:shd w:val="clear" w:color="auto" w:fill="FFFFFF"/>
        </w:rPr>
        <w:t xml:space="preserve"> </w:t>
      </w:r>
      <w:proofErr w:type="spellStart"/>
      <w:r>
        <w:rPr>
          <w:i/>
          <w:iCs/>
          <w:color w:val="212529"/>
          <w:shd w:val="clear" w:color="auto" w:fill="FFFFFF"/>
        </w:rPr>
        <w:t>gymnázia</w:t>
      </w:r>
      <w:proofErr w:type="spellEnd"/>
      <w:r>
        <w:rPr>
          <w:color w:val="212529"/>
          <w:shd w:val="clear" w:color="auto" w:fill="FFFFFF"/>
        </w:rPr>
        <w:t xml:space="preserve">. Praha: </w:t>
      </w:r>
      <w:proofErr w:type="spellStart"/>
      <w:r>
        <w:rPr>
          <w:color w:val="212529"/>
          <w:shd w:val="clear" w:color="auto" w:fill="FFFFFF"/>
        </w:rPr>
        <w:t>Fraus</w:t>
      </w:r>
      <w:proofErr w:type="spellEnd"/>
      <w:r>
        <w:rPr>
          <w:color w:val="212529"/>
          <w:shd w:val="clear" w:color="auto" w:fill="FFFFFF"/>
        </w:rPr>
        <w:t>, 2004. ISBN 80-7238-210-1.</w:t>
      </w:r>
    </w:p>
    <w:p w14:paraId="25A4930A" w14:textId="77777777" w:rsidR="00BB37B6" w:rsidRDefault="00BB37B6">
      <w:pPr>
        <w:rPr>
          <w:color w:val="212529"/>
          <w:shd w:val="clear" w:color="auto" w:fill="FFFFFF"/>
        </w:rPr>
      </w:pPr>
    </w:p>
    <w:p w14:paraId="23C5A5A3" w14:textId="676379B6" w:rsidR="00BB37B6" w:rsidRDefault="00BB37B6">
      <w:pPr>
        <w:rPr>
          <w:color w:val="212529"/>
          <w:shd w:val="clear" w:color="auto" w:fill="FFFFFF"/>
        </w:rPr>
      </w:pPr>
      <w:r>
        <w:rPr>
          <w:color w:val="212529"/>
          <w:shd w:val="clear" w:color="auto" w:fill="FFFFFF"/>
        </w:rPr>
        <w:t>RAUNER, Karel. </w:t>
      </w:r>
      <w:proofErr w:type="spellStart"/>
      <w:r>
        <w:rPr>
          <w:i/>
          <w:iCs/>
          <w:color w:val="212529"/>
          <w:shd w:val="clear" w:color="auto" w:fill="FFFFFF"/>
        </w:rPr>
        <w:t>Fyzika</w:t>
      </w:r>
      <w:proofErr w:type="spellEnd"/>
      <w:r>
        <w:rPr>
          <w:i/>
          <w:iCs/>
          <w:color w:val="212529"/>
          <w:shd w:val="clear" w:color="auto" w:fill="FFFFFF"/>
        </w:rPr>
        <w:t xml:space="preserve"> 7: pro </w:t>
      </w:r>
      <w:proofErr w:type="spellStart"/>
      <w:r>
        <w:rPr>
          <w:i/>
          <w:iCs/>
          <w:color w:val="212529"/>
          <w:shd w:val="clear" w:color="auto" w:fill="FFFFFF"/>
        </w:rPr>
        <w:t>základní</w:t>
      </w:r>
      <w:proofErr w:type="spellEnd"/>
      <w:r>
        <w:rPr>
          <w:i/>
          <w:iCs/>
          <w:color w:val="212529"/>
          <w:shd w:val="clear" w:color="auto" w:fill="FFFFFF"/>
        </w:rPr>
        <w:t xml:space="preserve"> </w:t>
      </w:r>
      <w:proofErr w:type="spellStart"/>
      <w:r>
        <w:rPr>
          <w:i/>
          <w:iCs/>
          <w:color w:val="212529"/>
          <w:shd w:val="clear" w:color="auto" w:fill="FFFFFF"/>
        </w:rPr>
        <w:t>školy</w:t>
      </w:r>
      <w:proofErr w:type="spellEnd"/>
      <w:r>
        <w:rPr>
          <w:i/>
          <w:iCs/>
          <w:color w:val="212529"/>
          <w:shd w:val="clear" w:color="auto" w:fill="FFFFFF"/>
        </w:rPr>
        <w:t xml:space="preserve"> a </w:t>
      </w:r>
      <w:proofErr w:type="spellStart"/>
      <w:r>
        <w:rPr>
          <w:i/>
          <w:iCs/>
          <w:color w:val="212529"/>
          <w:shd w:val="clear" w:color="auto" w:fill="FFFFFF"/>
        </w:rPr>
        <w:t>víceletá</w:t>
      </w:r>
      <w:proofErr w:type="spellEnd"/>
      <w:r>
        <w:rPr>
          <w:i/>
          <w:iCs/>
          <w:color w:val="212529"/>
          <w:shd w:val="clear" w:color="auto" w:fill="FFFFFF"/>
        </w:rPr>
        <w:t xml:space="preserve"> </w:t>
      </w:r>
      <w:proofErr w:type="spellStart"/>
      <w:r>
        <w:rPr>
          <w:i/>
          <w:iCs/>
          <w:color w:val="212529"/>
          <w:shd w:val="clear" w:color="auto" w:fill="FFFFFF"/>
        </w:rPr>
        <w:t>gymnázia</w:t>
      </w:r>
      <w:proofErr w:type="spellEnd"/>
      <w:r>
        <w:rPr>
          <w:color w:val="212529"/>
          <w:shd w:val="clear" w:color="auto" w:fill="FFFFFF"/>
        </w:rPr>
        <w:t xml:space="preserve">. </w:t>
      </w:r>
      <w:proofErr w:type="spellStart"/>
      <w:r>
        <w:rPr>
          <w:color w:val="212529"/>
          <w:shd w:val="clear" w:color="auto" w:fill="FFFFFF"/>
        </w:rPr>
        <w:t>Plzeň</w:t>
      </w:r>
      <w:proofErr w:type="spellEnd"/>
      <w:r>
        <w:rPr>
          <w:color w:val="212529"/>
          <w:shd w:val="clear" w:color="auto" w:fill="FFFFFF"/>
        </w:rPr>
        <w:t xml:space="preserve">: </w:t>
      </w:r>
      <w:proofErr w:type="spellStart"/>
      <w:r>
        <w:rPr>
          <w:color w:val="212529"/>
          <w:shd w:val="clear" w:color="auto" w:fill="FFFFFF"/>
        </w:rPr>
        <w:t>Fraus</w:t>
      </w:r>
      <w:proofErr w:type="spellEnd"/>
      <w:r>
        <w:rPr>
          <w:color w:val="212529"/>
          <w:shd w:val="clear" w:color="auto" w:fill="FFFFFF"/>
        </w:rPr>
        <w:t>, 2005. ISBN 80-7238-431-7.</w:t>
      </w:r>
    </w:p>
    <w:p w14:paraId="6E41333A" w14:textId="77777777" w:rsidR="00BB37B6" w:rsidRDefault="00BB37B6">
      <w:pPr>
        <w:rPr>
          <w:color w:val="212529"/>
          <w:shd w:val="clear" w:color="auto" w:fill="FFFFFF"/>
        </w:rPr>
      </w:pPr>
    </w:p>
    <w:p w14:paraId="4B583E7E" w14:textId="7ACB615F" w:rsidR="00BB37B6" w:rsidRDefault="00BB37B6">
      <w:pPr>
        <w:rPr>
          <w:rFonts w:ascii="Tahoma" w:eastAsia="Tahoma" w:hAnsi="Tahoma" w:cs="Tahoma"/>
        </w:rPr>
      </w:pPr>
      <w:r>
        <w:rPr>
          <w:color w:val="212529"/>
          <w:shd w:val="clear" w:color="auto" w:fill="FFFFFF"/>
        </w:rPr>
        <w:t>RAUNER, Karel. </w:t>
      </w:r>
      <w:proofErr w:type="spellStart"/>
      <w:r>
        <w:rPr>
          <w:i/>
          <w:iCs/>
          <w:color w:val="212529"/>
          <w:shd w:val="clear" w:color="auto" w:fill="FFFFFF"/>
        </w:rPr>
        <w:t>Fyzika</w:t>
      </w:r>
      <w:proofErr w:type="spellEnd"/>
      <w:r>
        <w:rPr>
          <w:i/>
          <w:iCs/>
          <w:color w:val="212529"/>
          <w:shd w:val="clear" w:color="auto" w:fill="FFFFFF"/>
        </w:rPr>
        <w:t xml:space="preserve"> 8: pro </w:t>
      </w:r>
      <w:proofErr w:type="spellStart"/>
      <w:r>
        <w:rPr>
          <w:i/>
          <w:iCs/>
          <w:color w:val="212529"/>
          <w:shd w:val="clear" w:color="auto" w:fill="FFFFFF"/>
        </w:rPr>
        <w:t>základní</w:t>
      </w:r>
      <w:proofErr w:type="spellEnd"/>
      <w:r>
        <w:rPr>
          <w:i/>
          <w:iCs/>
          <w:color w:val="212529"/>
          <w:shd w:val="clear" w:color="auto" w:fill="FFFFFF"/>
        </w:rPr>
        <w:t xml:space="preserve"> </w:t>
      </w:r>
      <w:proofErr w:type="spellStart"/>
      <w:r>
        <w:rPr>
          <w:i/>
          <w:iCs/>
          <w:color w:val="212529"/>
          <w:shd w:val="clear" w:color="auto" w:fill="FFFFFF"/>
        </w:rPr>
        <w:t>školy</w:t>
      </w:r>
      <w:proofErr w:type="spellEnd"/>
      <w:r>
        <w:rPr>
          <w:i/>
          <w:iCs/>
          <w:color w:val="212529"/>
          <w:shd w:val="clear" w:color="auto" w:fill="FFFFFF"/>
        </w:rPr>
        <w:t xml:space="preserve"> a </w:t>
      </w:r>
      <w:proofErr w:type="spellStart"/>
      <w:r>
        <w:rPr>
          <w:i/>
          <w:iCs/>
          <w:color w:val="212529"/>
          <w:shd w:val="clear" w:color="auto" w:fill="FFFFFF"/>
        </w:rPr>
        <w:t>víceletá</w:t>
      </w:r>
      <w:proofErr w:type="spellEnd"/>
      <w:r>
        <w:rPr>
          <w:i/>
          <w:iCs/>
          <w:color w:val="212529"/>
          <w:shd w:val="clear" w:color="auto" w:fill="FFFFFF"/>
        </w:rPr>
        <w:t xml:space="preserve"> </w:t>
      </w:r>
      <w:proofErr w:type="spellStart"/>
      <w:r>
        <w:rPr>
          <w:i/>
          <w:iCs/>
          <w:color w:val="212529"/>
          <w:shd w:val="clear" w:color="auto" w:fill="FFFFFF"/>
        </w:rPr>
        <w:t>gymnázia</w:t>
      </w:r>
      <w:proofErr w:type="spellEnd"/>
      <w:r>
        <w:rPr>
          <w:color w:val="212529"/>
          <w:shd w:val="clear" w:color="auto" w:fill="FFFFFF"/>
        </w:rPr>
        <w:t xml:space="preserve">. </w:t>
      </w:r>
      <w:proofErr w:type="spellStart"/>
      <w:r>
        <w:rPr>
          <w:color w:val="212529"/>
          <w:shd w:val="clear" w:color="auto" w:fill="FFFFFF"/>
        </w:rPr>
        <w:t>Plzeň</w:t>
      </w:r>
      <w:proofErr w:type="spellEnd"/>
      <w:r>
        <w:rPr>
          <w:color w:val="212529"/>
          <w:shd w:val="clear" w:color="auto" w:fill="FFFFFF"/>
        </w:rPr>
        <w:t xml:space="preserve">: </w:t>
      </w:r>
      <w:proofErr w:type="spellStart"/>
      <w:r>
        <w:rPr>
          <w:color w:val="212529"/>
          <w:shd w:val="clear" w:color="auto" w:fill="FFFFFF"/>
        </w:rPr>
        <w:t>Fraus</w:t>
      </w:r>
      <w:proofErr w:type="spellEnd"/>
      <w:r>
        <w:rPr>
          <w:color w:val="212529"/>
          <w:shd w:val="clear" w:color="auto" w:fill="FFFFFF"/>
        </w:rPr>
        <w:t>, 2006. ISBN 80-7238-525-9.</w:t>
      </w:r>
      <w:bookmarkStart w:id="0" w:name="_GoBack"/>
      <w:bookmarkEnd w:id="0"/>
    </w:p>
    <w:sectPr w:rsidR="00BB37B6">
      <w:footerReference w:type="default" r:id="rId2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D7E42" w14:textId="77777777" w:rsidR="007F3A7E" w:rsidRDefault="007F3A7E" w:rsidP="00C35EC7">
      <w:pPr>
        <w:spacing w:line="240" w:lineRule="auto"/>
      </w:pPr>
      <w:r>
        <w:separator/>
      </w:r>
    </w:p>
  </w:endnote>
  <w:endnote w:type="continuationSeparator" w:id="0">
    <w:p w14:paraId="09F3FE26" w14:textId="77777777" w:rsidR="007F3A7E" w:rsidRDefault="007F3A7E" w:rsidP="00C35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7F87B" w14:textId="5A02A827" w:rsidR="00C35EC7" w:rsidRDefault="0047021B">
    <w:pPr>
      <w:pStyle w:val="Zpat"/>
    </w:pPr>
    <w:r w:rsidRPr="0047021B">
      <w:rPr>
        <w:noProof/>
        <w:lang w:val="cs-CZ"/>
      </w:rPr>
      <w:drawing>
        <wp:inline distT="0" distB="0" distL="0" distR="0" wp14:anchorId="4501241A" wp14:editId="218A30FA">
          <wp:extent cx="5943600" cy="1319829"/>
          <wp:effectExtent l="0" t="0" r="0" b="0"/>
          <wp:docPr id="2" name="Obrázek 2" descr="C:\Users\daniela.markova\Desktop\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markova\Desktop\Logolink_OP_VVV_hor_barva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319829"/>
                  </a:xfrm>
                  <a:prstGeom prst="rect">
                    <a:avLst/>
                  </a:prstGeom>
                  <a:noFill/>
                  <a:ln>
                    <a:noFill/>
                  </a:ln>
                </pic:spPr>
              </pic:pic>
            </a:graphicData>
          </a:graphic>
        </wp:inline>
      </w:drawing>
    </w:r>
  </w:p>
  <w:p w14:paraId="43999F72" w14:textId="77777777" w:rsidR="00C35EC7" w:rsidRDefault="00C35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7EB53" w14:textId="77777777" w:rsidR="007F3A7E" w:rsidRDefault="007F3A7E" w:rsidP="00C35EC7">
      <w:pPr>
        <w:spacing w:line="240" w:lineRule="auto"/>
      </w:pPr>
      <w:r>
        <w:separator/>
      </w:r>
    </w:p>
  </w:footnote>
  <w:footnote w:type="continuationSeparator" w:id="0">
    <w:p w14:paraId="6EE27C1B" w14:textId="77777777" w:rsidR="007F3A7E" w:rsidRDefault="007F3A7E" w:rsidP="00C35E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51B75"/>
    <w:multiLevelType w:val="multilevel"/>
    <w:tmpl w:val="229AF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72"/>
    <w:rsid w:val="0001398A"/>
    <w:rsid w:val="00144F68"/>
    <w:rsid w:val="0047021B"/>
    <w:rsid w:val="00537E87"/>
    <w:rsid w:val="00645F37"/>
    <w:rsid w:val="007841F3"/>
    <w:rsid w:val="007F3A7E"/>
    <w:rsid w:val="00B2223F"/>
    <w:rsid w:val="00BB37B6"/>
    <w:rsid w:val="00C35EC7"/>
    <w:rsid w:val="00C45867"/>
    <w:rsid w:val="00DC11ED"/>
    <w:rsid w:val="00F12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D1E1"/>
  <w15:docId w15:val="{6089EDCF-33FA-4AC9-B475-9F27DD49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paragraph" w:styleId="Zhlav">
    <w:name w:val="header"/>
    <w:basedOn w:val="Normln"/>
    <w:link w:val="ZhlavChar"/>
    <w:uiPriority w:val="99"/>
    <w:unhideWhenUsed/>
    <w:rsid w:val="00C35EC7"/>
    <w:pPr>
      <w:tabs>
        <w:tab w:val="center" w:pos="4536"/>
        <w:tab w:val="right" w:pos="9072"/>
      </w:tabs>
      <w:spacing w:line="240" w:lineRule="auto"/>
    </w:pPr>
  </w:style>
  <w:style w:type="character" w:customStyle="1" w:styleId="ZhlavChar">
    <w:name w:val="Záhlaví Char"/>
    <w:basedOn w:val="Standardnpsmoodstavce"/>
    <w:link w:val="Zhlav"/>
    <w:uiPriority w:val="99"/>
    <w:rsid w:val="00C35EC7"/>
  </w:style>
  <w:style w:type="paragraph" w:styleId="Zpat">
    <w:name w:val="footer"/>
    <w:basedOn w:val="Normln"/>
    <w:link w:val="ZpatChar"/>
    <w:uiPriority w:val="99"/>
    <w:unhideWhenUsed/>
    <w:rsid w:val="00C35EC7"/>
    <w:pPr>
      <w:tabs>
        <w:tab w:val="center" w:pos="4536"/>
        <w:tab w:val="right" w:pos="9072"/>
      </w:tabs>
      <w:spacing w:line="240" w:lineRule="auto"/>
    </w:pPr>
  </w:style>
  <w:style w:type="character" w:customStyle="1" w:styleId="ZpatChar">
    <w:name w:val="Zápatí Char"/>
    <w:basedOn w:val="Standardnpsmoodstavce"/>
    <w:link w:val="Zpat"/>
    <w:uiPriority w:val="99"/>
    <w:rsid w:val="00C3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Potravina" TargetMode="External"/><Relationship Id="rId13" Type="http://schemas.openxmlformats.org/officeDocument/2006/relationships/hyperlink" Target="https://cs.wikipedia.org/wiki/E_100" TargetMode="External"/><Relationship Id="rId18" Type="http://schemas.openxmlformats.org/officeDocument/2006/relationships/hyperlink" Target="https://cs.wikipedia.org/wiki/Valen%C4%8Dn%C3%AD_elektron" TargetMode="External"/><Relationship Id="rId26" Type="http://schemas.openxmlformats.org/officeDocument/2006/relationships/hyperlink" Target="https://cs.wikipedia.org/wiki/L%C3%A1tka" TargetMode="External"/><Relationship Id="rId3" Type="http://schemas.openxmlformats.org/officeDocument/2006/relationships/settings" Target="settings.xml"/><Relationship Id="rId21" Type="http://schemas.openxmlformats.org/officeDocument/2006/relationships/hyperlink" Target="https://cs.wikipedia.org/wiki/Slune%C4%8Dnice" TargetMode="External"/><Relationship Id="rId7" Type="http://schemas.openxmlformats.org/officeDocument/2006/relationships/hyperlink" Target="https://cs.wikipedia.org/wiki/Barvivo" TargetMode="External"/><Relationship Id="rId12" Type="http://schemas.openxmlformats.org/officeDocument/2006/relationships/hyperlink" Target="https://cs.wikipedia.org/wiki/V%C3%BDrobek" TargetMode="External"/><Relationship Id="rId17" Type="http://schemas.openxmlformats.org/officeDocument/2006/relationships/hyperlink" Target="https://cs.wikipedia.org/wiki/Konduktivita" TargetMode="External"/><Relationship Id="rId25" Type="http://schemas.openxmlformats.org/officeDocument/2006/relationships/hyperlink" Target="https://cs.wikipedia.org/wiki/Elektromagnetick%C3%A9_z%C3%A1%C5%99en%C3%AD" TargetMode="External"/><Relationship Id="rId2" Type="http://schemas.openxmlformats.org/officeDocument/2006/relationships/styles" Target="styles.xml"/><Relationship Id="rId16" Type="http://schemas.openxmlformats.org/officeDocument/2006/relationships/hyperlink" Target="https://cs.wikipedia.org/wiki/Chlorofyl" TargetMode="External"/><Relationship Id="rId20" Type="http://schemas.openxmlformats.org/officeDocument/2006/relationships/hyperlink" Target="https://cs.wikipedia.org/wiki/Semen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wikipedia.org/wiki/Obal" TargetMode="External"/><Relationship Id="rId24" Type="http://schemas.openxmlformats.org/officeDocument/2006/relationships/hyperlink" Target="https://cs.wikipedia.org/wiki/Sv%C4%9Btlo" TargetMode="External"/><Relationship Id="rId5" Type="http://schemas.openxmlformats.org/officeDocument/2006/relationships/footnotes" Target="footnotes.xml"/><Relationship Id="rId15" Type="http://schemas.openxmlformats.org/officeDocument/2006/relationships/hyperlink" Target="https://cs.wikipedia.org/wiki/Karotenoidy" TargetMode="External"/><Relationship Id="rId23" Type="http://schemas.openxmlformats.org/officeDocument/2006/relationships/hyperlink" Target="https://cs.wikipedia.org/wiki/Fyzik%C3%A1ln%C3%AD_veli%C4%8Dina" TargetMode="External"/><Relationship Id="rId28" Type="http://schemas.openxmlformats.org/officeDocument/2006/relationships/footer" Target="footer1.xml"/><Relationship Id="rId10" Type="http://schemas.openxmlformats.org/officeDocument/2006/relationships/hyperlink" Target="https://cs.wikipedia.org/wiki/Chu%C5%A5" TargetMode="External"/><Relationship Id="rId19" Type="http://schemas.openxmlformats.org/officeDocument/2006/relationships/hyperlink" Target="https://cs.wikipedia.org/wiki/Olej" TargetMode="External"/><Relationship Id="rId4" Type="http://schemas.openxmlformats.org/officeDocument/2006/relationships/webSettings" Target="webSettings.xml"/><Relationship Id="rId9" Type="http://schemas.openxmlformats.org/officeDocument/2006/relationships/hyperlink" Target="https://cs.wikipedia.org/wiki/Barva" TargetMode="External"/><Relationship Id="rId14" Type="http://schemas.openxmlformats.org/officeDocument/2006/relationships/hyperlink" Target="https://cs.wikipedia.org/w/index.php?title=E_180&amp;action=edit&amp;redlink=1" TargetMode="External"/><Relationship Id="rId22" Type="http://schemas.openxmlformats.org/officeDocument/2006/relationships/hyperlink" Target="https://cs.wikipedia.org/wiki/Kosmetika" TargetMode="External"/><Relationship Id="rId27" Type="http://schemas.openxmlformats.org/officeDocument/2006/relationships/hyperlink" Target="https://www.wikiskripta.eu/w/Viditeln%C3%A9_sv%C4%9Btlo"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847</Words>
  <Characters>4999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Marková Daniela</dc:creator>
  <cp:lastModifiedBy>Marková Daniela</cp:lastModifiedBy>
  <cp:revision>8</cp:revision>
  <cp:lastPrinted>2021-10-20T11:04:00Z</cp:lastPrinted>
  <dcterms:created xsi:type="dcterms:W3CDTF">2021-09-23T08:32:00Z</dcterms:created>
  <dcterms:modified xsi:type="dcterms:W3CDTF">2021-10-20T11:11:00Z</dcterms:modified>
</cp:coreProperties>
</file>